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7"/>
        <w:gridCol w:w="5693"/>
      </w:tblGrid>
      <w:tr w:rsidR="00D46FFB" w:rsidRPr="00D46FFB" w:rsidTr="004211AE">
        <w:trPr>
          <w:tblCellSpacing w:w="15" w:type="dxa"/>
        </w:trPr>
        <w:tc>
          <w:tcPr>
            <w:tcW w:w="4792"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b/>
                <w:color w:val="000000"/>
                <w:sz w:val="19"/>
                <w:szCs w:val="19"/>
              </w:rPr>
              <w:t xml:space="preserve">IDENTITY </w:t>
            </w:r>
            <w:r w:rsidRPr="00D46FFB">
              <w:rPr>
                <w:rFonts w:ascii="Tahoma" w:eastAsia="Times New Roman" w:hAnsi="Tahoma" w:cs="Tahoma"/>
                <w:i/>
                <w:iCs/>
                <w:color w:val="000000"/>
                <w:sz w:val="19"/>
                <w:szCs w:val="19"/>
              </w:rPr>
              <w:t>(As Used on Label and List)</w:t>
            </w:r>
          </w:p>
        </w:tc>
        <w:tc>
          <w:tcPr>
            <w:tcW w:w="564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b/>
                <w:color w:val="000000"/>
                <w:sz w:val="19"/>
                <w:szCs w:val="19"/>
              </w:rPr>
              <w:t>Note: Blank spaces are not permitted.</w:t>
            </w:r>
            <w:r w:rsidRPr="00D46FFB">
              <w:rPr>
                <w:rFonts w:ascii="Tahoma" w:eastAsia="Times New Roman" w:hAnsi="Tahoma" w:cs="Tahoma"/>
                <w:color w:val="000000"/>
                <w:sz w:val="19"/>
                <w:szCs w:val="19"/>
              </w:rPr>
              <w:t xml:space="preserve"> If any item is not applicable, or no information is available, the space must be marked to indicate that.</w:t>
            </w:r>
          </w:p>
        </w:tc>
      </w:tr>
    </w:tbl>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sz w:val="24"/>
          <w:szCs w:val="24"/>
        </w:rPr>
        <w:br/>
      </w:r>
      <w:r w:rsidRPr="00D46FFB">
        <w:rPr>
          <w:rFonts w:ascii="Tahoma" w:eastAsia="Times New Roman" w:hAnsi="Tahoma" w:cs="Tahoma"/>
          <w:b/>
          <w:bCs/>
          <w:color w:val="003399"/>
          <w:sz w:val="24"/>
          <w:szCs w:val="24"/>
        </w:rPr>
        <w:t>Section I</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47"/>
        <w:gridCol w:w="5683"/>
      </w:tblGrid>
      <w:tr w:rsidR="00D46FFB" w:rsidRPr="00D46FFB" w:rsidTr="004211AE">
        <w:trPr>
          <w:tblCellSpacing w:w="15" w:type="dxa"/>
        </w:trPr>
        <w:tc>
          <w:tcPr>
            <w:tcW w:w="4802"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Manufacturer's Name</w:t>
            </w:r>
          </w:p>
        </w:tc>
        <w:tc>
          <w:tcPr>
            <w:tcW w:w="563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Emergency Telephone Number</w:t>
            </w:r>
            <w:r w:rsidRPr="00D46FFB">
              <w:rPr>
                <w:rFonts w:ascii="Tahoma" w:eastAsia="Times New Roman" w:hAnsi="Tahoma" w:cs="Tahoma"/>
                <w:b/>
                <w:color w:val="000000"/>
                <w:sz w:val="19"/>
                <w:szCs w:val="19"/>
              </w:rPr>
              <w:br/>
              <w:t> </w:t>
            </w:r>
          </w:p>
        </w:tc>
      </w:tr>
      <w:tr w:rsidR="00D46FFB" w:rsidRPr="00D46FFB" w:rsidTr="004211AE">
        <w:trPr>
          <w:tblCellSpacing w:w="15" w:type="dxa"/>
        </w:trPr>
        <w:tc>
          <w:tcPr>
            <w:tcW w:w="4802"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b/>
                <w:color w:val="000000"/>
                <w:sz w:val="19"/>
                <w:szCs w:val="19"/>
              </w:rPr>
              <w:t>Address</w:t>
            </w:r>
            <w:r w:rsidRPr="00D46FFB">
              <w:rPr>
                <w:rFonts w:ascii="Tahoma" w:eastAsia="Times New Roman" w:hAnsi="Tahoma" w:cs="Tahoma"/>
                <w:color w:val="000000"/>
                <w:sz w:val="19"/>
                <w:szCs w:val="19"/>
              </w:rPr>
              <w:t xml:space="preserve"> </w:t>
            </w:r>
            <w:r w:rsidRPr="00D46FFB">
              <w:rPr>
                <w:rFonts w:ascii="Tahoma" w:eastAsia="Times New Roman" w:hAnsi="Tahoma" w:cs="Tahoma"/>
                <w:i/>
                <w:iCs/>
                <w:color w:val="000000"/>
                <w:sz w:val="19"/>
                <w:szCs w:val="19"/>
              </w:rPr>
              <w:t>(Number, Street, City, State, and ZIP Code)</w:t>
            </w:r>
          </w:p>
        </w:tc>
        <w:tc>
          <w:tcPr>
            <w:tcW w:w="563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Telephone Number for Information</w:t>
            </w:r>
            <w:r w:rsidRPr="00D46FFB">
              <w:rPr>
                <w:rFonts w:ascii="Tahoma" w:eastAsia="Times New Roman" w:hAnsi="Tahoma" w:cs="Tahoma"/>
                <w:b/>
                <w:color w:val="000000"/>
                <w:sz w:val="19"/>
                <w:szCs w:val="19"/>
              </w:rPr>
              <w:br/>
              <w:t> </w:t>
            </w:r>
          </w:p>
        </w:tc>
      </w:tr>
      <w:tr w:rsidR="00FA7BC8" w:rsidRPr="00D46FFB" w:rsidTr="004211AE">
        <w:trPr>
          <w:tblCellSpacing w:w="15" w:type="dxa"/>
        </w:trPr>
        <w:tc>
          <w:tcPr>
            <w:tcW w:w="4802" w:type="dxa"/>
            <w:vMerge w:val="restart"/>
            <w:tcBorders>
              <w:top w:val="outset" w:sz="6" w:space="0" w:color="auto"/>
              <w:left w:val="outset" w:sz="6" w:space="0" w:color="auto"/>
              <w:right w:val="outset" w:sz="6" w:space="0" w:color="auto"/>
            </w:tcBorders>
            <w:vAlign w:val="center"/>
            <w:hideMark/>
          </w:tcPr>
          <w:p w:rsidR="00FA7BC8" w:rsidRPr="00D46FFB" w:rsidRDefault="00FA7BC8"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p w:rsidR="00FA7BC8" w:rsidRPr="00D46FFB" w:rsidRDefault="00FA7BC8"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5638" w:type="dxa"/>
            <w:tcBorders>
              <w:top w:val="outset" w:sz="6" w:space="0" w:color="auto"/>
              <w:left w:val="outset" w:sz="6" w:space="0" w:color="auto"/>
              <w:bottom w:val="outset" w:sz="6" w:space="0" w:color="auto"/>
              <w:right w:val="outset" w:sz="6" w:space="0" w:color="auto"/>
            </w:tcBorders>
            <w:hideMark/>
          </w:tcPr>
          <w:p w:rsidR="00FA7BC8" w:rsidRPr="00D46FFB" w:rsidRDefault="00FA7BC8"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Date Prepared</w:t>
            </w:r>
            <w:r w:rsidRPr="00D46FFB">
              <w:rPr>
                <w:rFonts w:ascii="Tahoma" w:eastAsia="Times New Roman" w:hAnsi="Tahoma" w:cs="Tahoma"/>
                <w:b/>
                <w:color w:val="000000"/>
                <w:sz w:val="19"/>
                <w:szCs w:val="19"/>
              </w:rPr>
              <w:br/>
              <w:t> </w:t>
            </w:r>
          </w:p>
        </w:tc>
      </w:tr>
      <w:tr w:rsidR="00FA7BC8" w:rsidRPr="00D46FFB" w:rsidTr="004211AE">
        <w:trPr>
          <w:tblCellSpacing w:w="15" w:type="dxa"/>
        </w:trPr>
        <w:tc>
          <w:tcPr>
            <w:tcW w:w="4802" w:type="dxa"/>
            <w:vMerge/>
            <w:tcBorders>
              <w:left w:val="outset" w:sz="6" w:space="0" w:color="auto"/>
              <w:bottom w:val="outset" w:sz="6" w:space="0" w:color="auto"/>
              <w:right w:val="outset" w:sz="6" w:space="0" w:color="auto"/>
            </w:tcBorders>
            <w:vAlign w:val="center"/>
            <w:hideMark/>
          </w:tcPr>
          <w:p w:rsidR="00FA7BC8" w:rsidRPr="00D46FFB" w:rsidRDefault="00FA7BC8" w:rsidP="00D46FFB">
            <w:pPr>
              <w:spacing w:after="0" w:line="240" w:lineRule="auto"/>
              <w:jc w:val="center"/>
              <w:rPr>
                <w:rFonts w:ascii="Tahoma" w:eastAsia="Times New Roman" w:hAnsi="Tahoma" w:cs="Tahoma"/>
                <w:sz w:val="24"/>
                <w:szCs w:val="24"/>
              </w:rPr>
            </w:pPr>
          </w:p>
        </w:tc>
        <w:tc>
          <w:tcPr>
            <w:tcW w:w="5638" w:type="dxa"/>
            <w:tcBorders>
              <w:top w:val="outset" w:sz="6" w:space="0" w:color="auto"/>
              <w:left w:val="outset" w:sz="6" w:space="0" w:color="auto"/>
              <w:bottom w:val="outset" w:sz="6" w:space="0" w:color="auto"/>
              <w:right w:val="outset" w:sz="6" w:space="0" w:color="auto"/>
            </w:tcBorders>
            <w:hideMark/>
          </w:tcPr>
          <w:p w:rsidR="00FA7BC8" w:rsidRPr="00D46FFB" w:rsidRDefault="00FA7BC8" w:rsidP="00FA7BC8">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b/>
                <w:color w:val="000000"/>
                <w:sz w:val="19"/>
                <w:szCs w:val="19"/>
              </w:rPr>
              <w:t>Signature</w:t>
            </w:r>
            <w:r>
              <w:rPr>
                <w:rFonts w:ascii="Tahoma" w:eastAsia="Times New Roman" w:hAnsi="Tahoma" w:cs="Tahoma"/>
                <w:b/>
                <w:color w:val="000000"/>
                <w:sz w:val="19"/>
                <w:szCs w:val="19"/>
              </w:rPr>
              <w:t xml:space="preserve"> &amp; Date</w:t>
            </w:r>
            <w:r w:rsidRPr="00D46FFB">
              <w:rPr>
                <w:rFonts w:ascii="Tahoma" w:eastAsia="Times New Roman" w:hAnsi="Tahoma" w:cs="Tahoma"/>
                <w:b/>
                <w:color w:val="000000"/>
                <w:sz w:val="19"/>
                <w:szCs w:val="19"/>
              </w:rPr>
              <w:t xml:space="preserve"> of Preparer</w:t>
            </w:r>
            <w:r w:rsidRPr="00D46FFB">
              <w:rPr>
                <w:rFonts w:ascii="Tahoma" w:eastAsia="Times New Roman" w:hAnsi="Tahoma" w:cs="Tahoma"/>
                <w:color w:val="000000"/>
                <w:sz w:val="19"/>
                <w:szCs w:val="19"/>
              </w:rPr>
              <w:br/>
              <w:t> </w:t>
            </w:r>
          </w:p>
        </w:tc>
      </w:tr>
    </w:tbl>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sz w:val="24"/>
          <w:szCs w:val="24"/>
        </w:rPr>
        <w:br/>
      </w:r>
      <w:r w:rsidRPr="00D46FFB">
        <w:rPr>
          <w:rFonts w:ascii="Tahoma" w:eastAsia="Times New Roman" w:hAnsi="Tahoma" w:cs="Tahoma"/>
          <w:b/>
          <w:bCs/>
          <w:color w:val="003399"/>
          <w:sz w:val="24"/>
          <w:szCs w:val="24"/>
        </w:rPr>
        <w:t>Section II - Hazardous Ingredients/Identity Information</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2"/>
        <w:gridCol w:w="1087"/>
        <w:gridCol w:w="1099"/>
        <w:gridCol w:w="2643"/>
        <w:gridCol w:w="1319"/>
      </w:tblGrid>
      <w:tr w:rsidR="002C1D8A" w:rsidRPr="00D46FFB" w:rsidTr="004211AE">
        <w:trPr>
          <w:tblCellSpacing w:w="15" w:type="dxa"/>
        </w:trPr>
        <w:tc>
          <w:tcPr>
            <w:tcW w:w="4337"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Hazardous Components (Specific Chemical Identity; Common Name(s))</w:t>
            </w:r>
          </w:p>
        </w:tc>
        <w:tc>
          <w:tcPr>
            <w:tcW w:w="1057"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OSHA PEL</w:t>
            </w:r>
          </w:p>
        </w:tc>
        <w:tc>
          <w:tcPr>
            <w:tcW w:w="1069"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ACGIH TLV</w:t>
            </w:r>
          </w:p>
        </w:tc>
        <w:tc>
          <w:tcPr>
            <w:tcW w:w="2613"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Other Limits Recommended</w:t>
            </w:r>
          </w:p>
        </w:tc>
        <w:tc>
          <w:tcPr>
            <w:tcW w:w="1274"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b/>
                <w:color w:val="000000"/>
                <w:sz w:val="19"/>
                <w:szCs w:val="19"/>
              </w:rPr>
            </w:pPr>
            <w:r w:rsidRPr="00D46FFB">
              <w:rPr>
                <w:rFonts w:ascii="Tahoma" w:eastAsia="Times New Roman" w:hAnsi="Tahoma" w:cs="Tahoma"/>
                <w:b/>
                <w:color w:val="000000"/>
                <w:sz w:val="19"/>
                <w:szCs w:val="19"/>
              </w:rPr>
              <w:t>%</w:t>
            </w:r>
            <w:r w:rsidRPr="00D46FFB">
              <w:rPr>
                <w:rFonts w:ascii="Tahoma" w:eastAsia="Times New Roman" w:hAnsi="Tahoma" w:cs="Tahoma"/>
                <w:b/>
                <w:i/>
                <w:iCs/>
                <w:color w:val="000000"/>
                <w:sz w:val="19"/>
                <w:szCs w:val="19"/>
              </w:rPr>
              <w:t>(optional)</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bl>
    <w:p w:rsidR="00D46FFB" w:rsidRDefault="00D46FFB" w:rsidP="00D46FFB">
      <w:pPr>
        <w:shd w:val="clear" w:color="auto" w:fill="FFFFFF"/>
        <w:spacing w:after="240" w:line="240" w:lineRule="auto"/>
        <w:rPr>
          <w:rFonts w:ascii="Tahoma" w:eastAsia="Times New Roman" w:hAnsi="Tahoma" w:cs="Tahoma"/>
          <w:b/>
          <w:bCs/>
          <w:color w:val="003399"/>
          <w:sz w:val="24"/>
          <w:szCs w:val="24"/>
        </w:rPr>
      </w:pPr>
    </w:p>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b/>
          <w:bCs/>
          <w:color w:val="003399"/>
          <w:sz w:val="24"/>
          <w:szCs w:val="24"/>
        </w:rPr>
        <w:t>Section III - Physical/Chemical Characteristics</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43"/>
        <w:gridCol w:w="2127"/>
        <w:gridCol w:w="2700"/>
        <w:gridCol w:w="2160"/>
      </w:tblGrid>
      <w:tr w:rsidR="00D46FFB" w:rsidRPr="00D46FFB" w:rsidTr="004211AE">
        <w:trPr>
          <w:tblCellSpacing w:w="15" w:type="dxa"/>
        </w:trPr>
        <w:tc>
          <w:tcPr>
            <w:tcW w:w="349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Boiling Point</w:t>
            </w:r>
          </w:p>
        </w:tc>
        <w:tc>
          <w:tcPr>
            <w:tcW w:w="2097"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c>
          <w:tcPr>
            <w:tcW w:w="267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Specific Gravity (H</w:t>
            </w:r>
            <w:r w:rsidRPr="00D46FFB">
              <w:rPr>
                <w:rFonts w:ascii="Tahoma" w:eastAsia="Times New Roman" w:hAnsi="Tahoma" w:cs="Tahoma"/>
                <w:color w:val="000000"/>
                <w:sz w:val="19"/>
                <w:szCs w:val="19"/>
                <w:vertAlign w:val="subscript"/>
              </w:rPr>
              <w:t>2</w:t>
            </w:r>
            <w:r w:rsidRPr="00D46FFB">
              <w:rPr>
                <w:rFonts w:ascii="Tahoma" w:eastAsia="Times New Roman" w:hAnsi="Tahoma" w:cs="Tahoma"/>
                <w:color w:val="000000"/>
                <w:sz w:val="19"/>
                <w:szCs w:val="19"/>
              </w:rPr>
              <w:t>O = 1)</w:t>
            </w:r>
            <w:r w:rsidRPr="00D46FFB">
              <w:rPr>
                <w:rFonts w:ascii="Tahoma" w:eastAsia="Times New Roman" w:hAnsi="Tahoma" w:cs="Tahoma"/>
                <w:color w:val="000000"/>
                <w:sz w:val="19"/>
                <w:szCs w:val="19"/>
              </w:rPr>
              <w:b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r>
      <w:tr w:rsidR="00D46FFB" w:rsidRPr="00D46FFB" w:rsidTr="004211AE">
        <w:trPr>
          <w:tblCellSpacing w:w="15" w:type="dxa"/>
        </w:trPr>
        <w:tc>
          <w:tcPr>
            <w:tcW w:w="349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Vapor Pressure (mm Hg)</w:t>
            </w:r>
          </w:p>
        </w:tc>
        <w:tc>
          <w:tcPr>
            <w:tcW w:w="2097"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267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Melting Point</w:t>
            </w:r>
          </w:p>
        </w:tc>
        <w:tc>
          <w:tcPr>
            <w:tcW w:w="2115"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349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Vapor Density (AIR = 1)</w:t>
            </w:r>
          </w:p>
        </w:tc>
        <w:tc>
          <w:tcPr>
            <w:tcW w:w="2097"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267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Evaporation Rate</w:t>
            </w:r>
            <w:r w:rsidRPr="00D46FFB">
              <w:rPr>
                <w:rFonts w:ascii="Tahoma" w:eastAsia="Times New Roman" w:hAnsi="Tahoma" w:cs="Tahoma"/>
                <w:color w:val="000000"/>
                <w:sz w:val="19"/>
                <w:szCs w:val="19"/>
              </w:rPr>
              <w:br/>
              <w:t>(Butyl Acetate = 1)</w:t>
            </w:r>
          </w:p>
        </w:tc>
        <w:tc>
          <w:tcPr>
            <w:tcW w:w="2115"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Solubility in Water</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Appearance and Odor</w:t>
            </w:r>
            <w:r w:rsidRPr="00D46FFB">
              <w:rPr>
                <w:rFonts w:ascii="Tahoma" w:eastAsia="Times New Roman" w:hAnsi="Tahoma" w:cs="Tahoma"/>
                <w:color w:val="000000"/>
                <w:sz w:val="19"/>
                <w:szCs w:val="19"/>
              </w:rPr>
              <w:br/>
              <w:t> </w:t>
            </w:r>
          </w:p>
        </w:tc>
      </w:tr>
    </w:tbl>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sz w:val="24"/>
          <w:szCs w:val="24"/>
        </w:rPr>
        <w:br/>
      </w:r>
      <w:r w:rsidRPr="00D46FFB">
        <w:rPr>
          <w:rFonts w:ascii="Tahoma" w:eastAsia="Times New Roman" w:hAnsi="Tahoma" w:cs="Tahoma"/>
          <w:b/>
          <w:bCs/>
          <w:color w:val="003399"/>
          <w:sz w:val="24"/>
          <w:szCs w:val="24"/>
        </w:rPr>
        <w:t>Section IV - Fire and Explosion Hazard Data</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8"/>
        <w:gridCol w:w="1959"/>
        <w:gridCol w:w="586"/>
        <w:gridCol w:w="2018"/>
        <w:gridCol w:w="2429"/>
      </w:tblGrid>
      <w:tr w:rsidR="00D46FFB" w:rsidRPr="00D46FFB" w:rsidTr="004211AE">
        <w:trPr>
          <w:tblCellSpacing w:w="15" w:type="dxa"/>
        </w:trPr>
        <w:tc>
          <w:tcPr>
            <w:tcW w:w="3493"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Flash Point (Method Used)</w:t>
            </w:r>
          </w:p>
        </w:tc>
        <w:tc>
          <w:tcPr>
            <w:tcW w:w="2515" w:type="dxa"/>
            <w:gridSpan w:val="2"/>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Flammable Limits</w:t>
            </w:r>
          </w:p>
        </w:tc>
        <w:tc>
          <w:tcPr>
            <w:tcW w:w="198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LEL</w:t>
            </w:r>
            <w:r w:rsidRPr="00D46FFB">
              <w:rPr>
                <w:rFonts w:ascii="Tahoma" w:eastAsia="Times New Roman" w:hAnsi="Tahoma" w:cs="Tahoma"/>
                <w:color w:val="000000"/>
                <w:sz w:val="19"/>
                <w:szCs w:val="19"/>
              </w:rPr>
              <w:br/>
              <w:t> </w:t>
            </w:r>
          </w:p>
        </w:tc>
        <w:tc>
          <w:tcPr>
            <w:tcW w:w="2384"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UEL</w:t>
            </w:r>
            <w:r w:rsidRPr="00D46FFB">
              <w:rPr>
                <w:rFonts w:ascii="Tahoma" w:eastAsia="Times New Roman" w:hAnsi="Tahoma" w:cs="Tahoma"/>
                <w:color w:val="000000"/>
                <w:sz w:val="19"/>
                <w:szCs w:val="19"/>
              </w:rPr>
              <w:br/>
              <w:t> </w:t>
            </w:r>
          </w:p>
        </w:tc>
      </w:tr>
      <w:tr w:rsidR="00FA7BC8" w:rsidRPr="00D46FFB" w:rsidTr="004211AE">
        <w:trPr>
          <w:tblCellSpacing w:w="15" w:type="dxa"/>
        </w:trPr>
        <w:tc>
          <w:tcPr>
            <w:tcW w:w="5452" w:type="dxa"/>
            <w:gridSpan w:val="2"/>
            <w:tcBorders>
              <w:top w:val="outset" w:sz="6" w:space="0" w:color="auto"/>
              <w:left w:val="outset" w:sz="6" w:space="0" w:color="auto"/>
              <w:bottom w:val="outset" w:sz="6" w:space="0" w:color="auto"/>
              <w:right w:val="outset" w:sz="6" w:space="0" w:color="auto"/>
            </w:tcBorders>
            <w:hideMark/>
          </w:tcPr>
          <w:p w:rsidR="00FA7BC8" w:rsidRPr="00D46FFB" w:rsidRDefault="00FA7BC8"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Extinguishing Media</w:t>
            </w:r>
            <w:r w:rsidRPr="00D46FFB">
              <w:rPr>
                <w:rFonts w:ascii="Tahoma" w:eastAsia="Times New Roman" w:hAnsi="Tahoma" w:cs="Tahoma"/>
                <w:color w:val="000000"/>
                <w:sz w:val="19"/>
                <w:szCs w:val="19"/>
              </w:rPr>
              <w:br/>
              <w:t> </w:t>
            </w:r>
          </w:p>
        </w:tc>
        <w:tc>
          <w:tcPr>
            <w:tcW w:w="4988" w:type="dxa"/>
            <w:gridSpan w:val="3"/>
            <w:tcBorders>
              <w:top w:val="outset" w:sz="6" w:space="0" w:color="auto"/>
              <w:left w:val="outset" w:sz="6" w:space="0" w:color="auto"/>
              <w:bottom w:val="outset" w:sz="6" w:space="0" w:color="auto"/>
              <w:right w:val="outset" w:sz="6" w:space="0" w:color="auto"/>
            </w:tcBorders>
          </w:tcPr>
          <w:p w:rsidR="00FA7BC8" w:rsidRPr="00D46FFB" w:rsidRDefault="00FA7BC8" w:rsidP="00D46FFB">
            <w:pPr>
              <w:spacing w:after="0" w:line="240" w:lineRule="auto"/>
              <w:jc w:val="center"/>
              <w:rPr>
                <w:rFonts w:ascii="Tahoma" w:eastAsia="Times New Roman" w:hAnsi="Tahoma" w:cs="Tahoma"/>
                <w:color w:val="000000"/>
                <w:sz w:val="19"/>
                <w:szCs w:val="19"/>
              </w:rPr>
            </w:pPr>
            <w:r w:rsidRPr="00FA7BC8">
              <w:rPr>
                <w:rFonts w:ascii="Tahoma" w:eastAsia="Times New Roman" w:hAnsi="Tahoma" w:cs="Tahoma"/>
                <w:color w:val="000000"/>
                <w:sz w:val="19"/>
                <w:szCs w:val="19"/>
              </w:rPr>
              <w:t>Autoignition Temperature (oF)</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Special Fire Fighting Procedures</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Unusual Fire and Explosion Hazards</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bl>
    <w:p w:rsidR="00D46FFB" w:rsidRPr="00D46FFB" w:rsidRDefault="00D46FFB" w:rsidP="00D46FFB">
      <w:pPr>
        <w:shd w:val="clear" w:color="auto" w:fill="FFFFFF"/>
        <w:spacing w:after="0" w:line="240" w:lineRule="auto"/>
        <w:rPr>
          <w:rFonts w:ascii="Tahoma" w:eastAsia="Times New Roman" w:hAnsi="Tahoma" w:cs="Tahoma"/>
          <w:vanish/>
          <w:sz w:val="24"/>
          <w:szCs w:val="24"/>
        </w:rPr>
      </w:pPr>
    </w:p>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sz w:val="24"/>
          <w:szCs w:val="24"/>
        </w:rPr>
        <w:br/>
      </w:r>
      <w:r w:rsidRPr="00D46FFB">
        <w:rPr>
          <w:rFonts w:ascii="Tahoma" w:eastAsia="Times New Roman" w:hAnsi="Tahoma" w:cs="Tahoma"/>
          <w:b/>
          <w:bCs/>
          <w:color w:val="003399"/>
          <w:sz w:val="24"/>
          <w:szCs w:val="24"/>
        </w:rPr>
        <w:t>Section V - Reactivity Data</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40"/>
        <w:gridCol w:w="1319"/>
        <w:gridCol w:w="1102"/>
        <w:gridCol w:w="6469"/>
      </w:tblGrid>
      <w:tr w:rsidR="00D46FFB" w:rsidRPr="00D46FFB" w:rsidTr="004211AE">
        <w:trPr>
          <w:tblCellSpacing w:w="15" w:type="dxa"/>
        </w:trPr>
        <w:tc>
          <w:tcPr>
            <w:tcW w:w="159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Stability</w:t>
            </w:r>
          </w:p>
        </w:tc>
        <w:tc>
          <w:tcPr>
            <w:tcW w:w="1289"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Unstable</w:t>
            </w:r>
          </w:p>
        </w:tc>
        <w:tc>
          <w:tcPr>
            <w:tcW w:w="1072"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c>
          <w:tcPr>
            <w:tcW w:w="6424"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Conditions to Avoid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59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Stable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6424"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xml:space="preserve">Incompatibility </w:t>
            </w:r>
            <w:r w:rsidRPr="00D46FFB">
              <w:rPr>
                <w:rFonts w:ascii="Tahoma" w:eastAsia="Times New Roman" w:hAnsi="Tahoma" w:cs="Tahoma"/>
                <w:i/>
                <w:iCs/>
                <w:color w:val="000000"/>
                <w:sz w:val="19"/>
                <w:szCs w:val="19"/>
              </w:rPr>
              <w:t>(Materials to Avoid)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Hazardous Decomposition or Byproducts</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59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Hazardous</w:t>
            </w:r>
            <w:r w:rsidRPr="00D46FFB">
              <w:rPr>
                <w:rFonts w:ascii="Tahoma" w:eastAsia="Times New Roman" w:hAnsi="Tahoma" w:cs="Tahoma"/>
                <w:color w:val="000000"/>
                <w:sz w:val="19"/>
                <w:szCs w:val="19"/>
              </w:rPr>
              <w:br/>
              <w:t>Polymerization</w:t>
            </w:r>
          </w:p>
        </w:tc>
        <w:tc>
          <w:tcPr>
            <w:tcW w:w="0" w:type="auto"/>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May Occur</w:t>
            </w:r>
          </w:p>
        </w:tc>
        <w:tc>
          <w:tcPr>
            <w:tcW w:w="0" w:type="auto"/>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6424"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Conditions to Avoid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59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Will Not Occur</w:t>
            </w:r>
          </w:p>
        </w:tc>
        <w:tc>
          <w:tcPr>
            <w:tcW w:w="0" w:type="auto"/>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p>
        </w:tc>
        <w:tc>
          <w:tcPr>
            <w:tcW w:w="6424"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sz w:val="24"/>
                <w:szCs w:val="24"/>
              </w:rPr>
              <w:t> </w:t>
            </w:r>
            <w:r w:rsidRPr="00D46FFB">
              <w:rPr>
                <w:rFonts w:ascii="Tahoma" w:eastAsia="Times New Roman" w:hAnsi="Tahoma" w:cs="Tahoma"/>
                <w:sz w:val="24"/>
                <w:szCs w:val="24"/>
              </w:rPr>
              <w:br/>
              <w:t> </w:t>
            </w:r>
          </w:p>
        </w:tc>
      </w:tr>
    </w:tbl>
    <w:p w:rsidR="002C1D8A" w:rsidRDefault="002C1D8A" w:rsidP="00D46FFB">
      <w:pPr>
        <w:shd w:val="clear" w:color="auto" w:fill="FFFFFF"/>
        <w:spacing w:after="0" w:line="240" w:lineRule="auto"/>
        <w:rPr>
          <w:rFonts w:ascii="Tahoma" w:eastAsia="Times New Roman" w:hAnsi="Tahoma" w:cs="Tahoma"/>
          <w:b/>
          <w:bCs/>
          <w:color w:val="003399"/>
          <w:sz w:val="24"/>
          <w:szCs w:val="24"/>
        </w:rPr>
      </w:pPr>
    </w:p>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b/>
          <w:bCs/>
          <w:color w:val="003399"/>
          <w:sz w:val="24"/>
          <w:szCs w:val="24"/>
        </w:rPr>
        <w:t>Section VI - Health Hazard Data</w:t>
      </w:r>
      <w:r w:rsidRPr="00D46FFB">
        <w:rPr>
          <w:rFonts w:ascii="Tahoma" w:eastAsia="Times New Roman" w:hAnsi="Tahoma" w:cs="Tahoma"/>
          <w:sz w:val="24"/>
          <w:szCs w:val="24"/>
        </w:rPr>
        <w:t xml:space="preserve"> </w:t>
      </w:r>
    </w:p>
    <w:tbl>
      <w:tblPr>
        <w:tblW w:w="1053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2239"/>
        <w:gridCol w:w="2245"/>
        <w:gridCol w:w="3601"/>
      </w:tblGrid>
      <w:tr w:rsidR="00D46FFB" w:rsidRPr="00D46FFB" w:rsidTr="004211A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Route(s) of Entry:</w:t>
            </w:r>
          </w:p>
        </w:tc>
        <w:tc>
          <w:tcPr>
            <w:tcW w:w="2209"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Inhalation?</w:t>
            </w:r>
          </w:p>
        </w:tc>
        <w:tc>
          <w:tcPr>
            <w:tcW w:w="221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Skin?</w:t>
            </w:r>
          </w:p>
        </w:tc>
        <w:tc>
          <w:tcPr>
            <w:tcW w:w="3556"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Ingestion?</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xml:space="preserve">Health Hazards </w:t>
            </w:r>
            <w:r w:rsidRPr="00D46FFB">
              <w:rPr>
                <w:rFonts w:ascii="Tahoma" w:eastAsia="Times New Roman" w:hAnsi="Tahoma" w:cs="Tahoma"/>
                <w:i/>
                <w:iCs/>
                <w:color w:val="000000"/>
                <w:sz w:val="19"/>
                <w:szCs w:val="19"/>
              </w:rPr>
              <w:t>(Acute and Chronic)</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Carcinogenicity:</w:t>
            </w:r>
          </w:p>
        </w:tc>
        <w:tc>
          <w:tcPr>
            <w:tcW w:w="2209"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NTP?</w:t>
            </w:r>
          </w:p>
        </w:tc>
        <w:tc>
          <w:tcPr>
            <w:tcW w:w="2215"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IARC Monographs?</w:t>
            </w:r>
          </w:p>
        </w:tc>
        <w:tc>
          <w:tcPr>
            <w:tcW w:w="3556"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OSHA Regulated?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Signs and Symptoms of Exposure</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Medical Conditions</w:t>
            </w:r>
            <w:r w:rsidR="004211AE">
              <w:rPr>
                <w:rFonts w:ascii="Tahoma" w:eastAsia="Times New Roman" w:hAnsi="Tahoma" w:cs="Tahoma"/>
                <w:color w:val="000000"/>
                <w:sz w:val="19"/>
                <w:szCs w:val="19"/>
              </w:rPr>
              <w:t xml:space="preserve"> </w:t>
            </w:r>
            <w:r w:rsidRPr="00D46FFB">
              <w:rPr>
                <w:rFonts w:ascii="Tahoma" w:eastAsia="Times New Roman" w:hAnsi="Tahoma" w:cs="Tahoma"/>
                <w:color w:val="000000"/>
                <w:sz w:val="19"/>
                <w:szCs w:val="19"/>
              </w:rPr>
              <w:t>Generally Aggravated by Exposure</w:t>
            </w:r>
          </w:p>
          <w:p w:rsidR="004211AE" w:rsidRPr="00D46FFB" w:rsidRDefault="004211AE" w:rsidP="00D46FFB">
            <w:pPr>
              <w:spacing w:after="0" w:line="240" w:lineRule="auto"/>
              <w:jc w:val="center"/>
              <w:rPr>
                <w:rFonts w:ascii="Tahoma" w:eastAsia="Times New Roman" w:hAnsi="Tahoma" w:cs="Tahoma"/>
                <w:color w:val="000000"/>
                <w:sz w:val="19"/>
                <w:szCs w:val="19"/>
              </w:rPr>
            </w:pP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Emergency and First Aid Procedures</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470" w:type="dxa"/>
            <w:gridSpan w:val="4"/>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bl>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sz w:val="24"/>
          <w:szCs w:val="24"/>
        </w:rPr>
        <w:br/>
      </w:r>
      <w:r w:rsidRPr="00D46FFB">
        <w:rPr>
          <w:rFonts w:ascii="Tahoma" w:eastAsia="Times New Roman" w:hAnsi="Tahoma" w:cs="Tahoma"/>
          <w:b/>
          <w:bCs/>
          <w:color w:val="003399"/>
          <w:sz w:val="24"/>
          <w:szCs w:val="24"/>
        </w:rPr>
        <w:t>Section VII - Precautions for Safe Handling and Use</w:t>
      </w:r>
      <w:r w:rsidRPr="00D46FFB">
        <w:rPr>
          <w:rFonts w:ascii="Tahoma" w:eastAsia="Times New Roman" w:hAnsi="Tahoma" w:cs="Tahoma"/>
          <w:sz w:val="24"/>
          <w:szCs w:val="24"/>
        </w:rPr>
        <w:t xml:space="preserve"> </w:t>
      </w:r>
    </w:p>
    <w:tbl>
      <w:tblPr>
        <w:tblW w:w="10890" w:type="dxa"/>
        <w:tblCellSpacing w:w="15" w:type="dxa"/>
        <w:tblInd w:w="-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90"/>
      </w:tblGrid>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Steps to Be Taken in Case Material is Released or Spilled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Waste Disposal Method</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Precautions to Be taken in Handling and Storing</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Other Precautions</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0830"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r w:rsidRPr="00D46FFB">
              <w:rPr>
                <w:rFonts w:ascii="Tahoma" w:eastAsia="Times New Roman" w:hAnsi="Tahoma" w:cs="Tahoma"/>
                <w:color w:val="000000"/>
                <w:sz w:val="19"/>
                <w:szCs w:val="19"/>
              </w:rPr>
              <w:br/>
              <w:t> </w:t>
            </w:r>
          </w:p>
        </w:tc>
      </w:tr>
    </w:tbl>
    <w:p w:rsidR="002C1D8A" w:rsidRDefault="002C1D8A" w:rsidP="00D46FFB">
      <w:pPr>
        <w:shd w:val="clear" w:color="auto" w:fill="FFFFFF"/>
        <w:spacing w:after="0" w:line="240" w:lineRule="auto"/>
        <w:rPr>
          <w:rFonts w:ascii="Tahoma" w:eastAsia="Times New Roman" w:hAnsi="Tahoma" w:cs="Tahoma"/>
          <w:sz w:val="24"/>
          <w:szCs w:val="24"/>
        </w:rPr>
      </w:pPr>
    </w:p>
    <w:p w:rsidR="004211AE" w:rsidRDefault="004211AE" w:rsidP="00D46FFB">
      <w:pPr>
        <w:shd w:val="clear" w:color="auto" w:fill="FFFFFF"/>
        <w:spacing w:after="0" w:line="240" w:lineRule="auto"/>
        <w:rPr>
          <w:rFonts w:ascii="Tahoma" w:eastAsia="Times New Roman" w:hAnsi="Tahoma" w:cs="Tahoma"/>
          <w:sz w:val="24"/>
          <w:szCs w:val="24"/>
        </w:rPr>
      </w:pPr>
    </w:p>
    <w:p w:rsidR="004211AE" w:rsidRDefault="004211AE" w:rsidP="00D46FFB">
      <w:pPr>
        <w:shd w:val="clear" w:color="auto" w:fill="FFFFFF"/>
        <w:spacing w:after="0" w:line="240" w:lineRule="auto"/>
        <w:rPr>
          <w:rFonts w:ascii="Tahoma" w:eastAsia="Times New Roman" w:hAnsi="Tahoma" w:cs="Tahoma"/>
          <w:sz w:val="24"/>
          <w:szCs w:val="24"/>
        </w:rPr>
      </w:pPr>
    </w:p>
    <w:p w:rsidR="00D46FFB" w:rsidRPr="00D46FFB" w:rsidRDefault="00D46FFB" w:rsidP="00D46FFB">
      <w:pPr>
        <w:shd w:val="clear" w:color="auto" w:fill="FFFFFF"/>
        <w:spacing w:after="0" w:line="240" w:lineRule="auto"/>
        <w:rPr>
          <w:rFonts w:ascii="Tahoma" w:eastAsia="Times New Roman" w:hAnsi="Tahoma" w:cs="Tahoma"/>
          <w:sz w:val="24"/>
          <w:szCs w:val="24"/>
        </w:rPr>
      </w:pPr>
      <w:r w:rsidRPr="00D46FFB">
        <w:rPr>
          <w:rFonts w:ascii="Tahoma" w:eastAsia="Times New Roman" w:hAnsi="Tahoma" w:cs="Tahoma"/>
          <w:b/>
          <w:bCs/>
          <w:color w:val="003399"/>
          <w:sz w:val="24"/>
          <w:szCs w:val="24"/>
        </w:rPr>
        <w:t>Section VIII - Control Measures</w:t>
      </w:r>
      <w:r w:rsidRPr="00D46FFB">
        <w:rPr>
          <w:rFonts w:ascii="Tahoma" w:eastAsia="Times New Roman" w:hAnsi="Tahoma" w:cs="Tahoma"/>
          <w:sz w:val="24"/>
          <w:szCs w:val="24"/>
        </w:rPr>
        <w:t xml:space="preserve"> </w:t>
      </w:r>
    </w:p>
    <w:tbl>
      <w:tblPr>
        <w:tblW w:w="1078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3"/>
        <w:gridCol w:w="3729"/>
        <w:gridCol w:w="5373"/>
      </w:tblGrid>
      <w:tr w:rsidR="00D46FFB" w:rsidRPr="00D46FFB" w:rsidTr="00D46FFB">
        <w:trPr>
          <w:tblCellSpacing w:w="15" w:type="dxa"/>
        </w:trPr>
        <w:tc>
          <w:tcPr>
            <w:tcW w:w="10725" w:type="dxa"/>
            <w:gridSpan w:val="3"/>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xml:space="preserve">Respiratory Protection </w:t>
            </w:r>
            <w:r w:rsidRPr="00D46FFB">
              <w:rPr>
                <w:rFonts w:ascii="Tahoma" w:eastAsia="Times New Roman" w:hAnsi="Tahoma" w:cs="Tahoma"/>
                <w:i/>
                <w:iCs/>
                <w:color w:val="000000"/>
                <w:sz w:val="19"/>
                <w:szCs w:val="19"/>
              </w:rPr>
              <w:t>(Specify Type)</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163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Ventilation</w:t>
            </w:r>
          </w:p>
        </w:tc>
        <w:tc>
          <w:tcPr>
            <w:tcW w:w="3699" w:type="dxa"/>
            <w:tcBorders>
              <w:top w:val="outset" w:sz="6" w:space="0" w:color="auto"/>
              <w:left w:val="outset" w:sz="6" w:space="0" w:color="auto"/>
              <w:bottom w:val="outset" w:sz="6" w:space="0" w:color="auto"/>
              <w:right w:val="outset" w:sz="6" w:space="0" w:color="auto"/>
            </w:tcBorders>
            <w:hideMark/>
          </w:tcPr>
          <w:p w:rsid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Local Exhaust</w:t>
            </w:r>
          </w:p>
          <w:p w:rsidR="004211AE" w:rsidRDefault="004211AE" w:rsidP="00D46FFB">
            <w:pPr>
              <w:spacing w:after="0" w:line="240" w:lineRule="auto"/>
              <w:jc w:val="center"/>
              <w:rPr>
                <w:rFonts w:ascii="Tahoma" w:eastAsia="Times New Roman" w:hAnsi="Tahoma" w:cs="Tahoma"/>
                <w:color w:val="000000"/>
                <w:sz w:val="19"/>
                <w:szCs w:val="19"/>
              </w:rPr>
            </w:pPr>
          </w:p>
          <w:p w:rsidR="004211AE" w:rsidRPr="00D46FFB" w:rsidRDefault="004211AE" w:rsidP="00D46FFB">
            <w:pPr>
              <w:spacing w:after="0" w:line="240" w:lineRule="auto"/>
              <w:jc w:val="center"/>
              <w:rPr>
                <w:rFonts w:ascii="Tahoma" w:eastAsia="Times New Roman" w:hAnsi="Tahoma" w:cs="Tahoma"/>
                <w:color w:val="000000"/>
                <w:sz w:val="19"/>
                <w:szCs w:val="19"/>
              </w:rPr>
            </w:pPr>
          </w:p>
        </w:tc>
        <w:tc>
          <w:tcPr>
            <w:tcW w:w="532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Special</w:t>
            </w:r>
            <w:r w:rsidRPr="00D46FFB">
              <w:rPr>
                <w:rFonts w:ascii="Tahoma" w:eastAsia="Times New Roman" w:hAnsi="Tahoma" w:cs="Tahoma"/>
                <w:color w:val="000000"/>
                <w:sz w:val="19"/>
                <w:szCs w:val="19"/>
              </w:rPr>
              <w:br/>
              <w:t> </w:t>
            </w:r>
          </w:p>
        </w:tc>
      </w:tr>
      <w:tr w:rsidR="00D46FFB" w:rsidRPr="00D46FFB" w:rsidTr="004211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 </w:t>
            </w:r>
          </w:p>
        </w:tc>
        <w:tc>
          <w:tcPr>
            <w:tcW w:w="3699" w:type="dxa"/>
            <w:tcBorders>
              <w:top w:val="outset" w:sz="6" w:space="0" w:color="auto"/>
              <w:left w:val="outset" w:sz="6" w:space="0" w:color="auto"/>
              <w:bottom w:val="outset" w:sz="6" w:space="0" w:color="auto"/>
              <w:right w:val="outset" w:sz="6" w:space="0" w:color="auto"/>
            </w:tcBorders>
            <w:hideMark/>
          </w:tcPr>
          <w:p w:rsidR="00D46FFB" w:rsidRDefault="00D46FFB" w:rsidP="00D46FFB">
            <w:pPr>
              <w:spacing w:after="0" w:line="240" w:lineRule="auto"/>
              <w:jc w:val="center"/>
              <w:rPr>
                <w:rFonts w:ascii="Tahoma" w:eastAsia="Times New Roman" w:hAnsi="Tahoma" w:cs="Tahoma"/>
                <w:i/>
                <w:iCs/>
                <w:color w:val="000000"/>
                <w:sz w:val="19"/>
                <w:szCs w:val="19"/>
              </w:rPr>
            </w:pPr>
            <w:r w:rsidRPr="00D46FFB">
              <w:rPr>
                <w:rFonts w:ascii="Tahoma" w:eastAsia="Times New Roman" w:hAnsi="Tahoma" w:cs="Tahoma"/>
                <w:color w:val="000000"/>
                <w:sz w:val="19"/>
                <w:szCs w:val="19"/>
              </w:rPr>
              <w:t xml:space="preserve">Mechanical </w:t>
            </w:r>
            <w:r w:rsidRPr="00D46FFB">
              <w:rPr>
                <w:rFonts w:ascii="Tahoma" w:eastAsia="Times New Roman" w:hAnsi="Tahoma" w:cs="Tahoma"/>
                <w:i/>
                <w:iCs/>
                <w:color w:val="000000"/>
                <w:sz w:val="19"/>
                <w:szCs w:val="19"/>
              </w:rPr>
              <w:t>(General)</w:t>
            </w:r>
          </w:p>
          <w:p w:rsidR="004211AE" w:rsidRDefault="004211AE" w:rsidP="00D46FFB">
            <w:pPr>
              <w:spacing w:after="0" w:line="240" w:lineRule="auto"/>
              <w:jc w:val="center"/>
              <w:rPr>
                <w:rFonts w:ascii="Tahoma" w:eastAsia="Times New Roman" w:hAnsi="Tahoma" w:cs="Tahoma"/>
                <w:i/>
                <w:iCs/>
                <w:color w:val="000000"/>
                <w:sz w:val="19"/>
                <w:szCs w:val="19"/>
              </w:rPr>
            </w:pPr>
          </w:p>
          <w:p w:rsidR="004211AE" w:rsidRPr="00D46FFB" w:rsidRDefault="004211AE" w:rsidP="00D46FFB">
            <w:pPr>
              <w:spacing w:after="0" w:line="240" w:lineRule="auto"/>
              <w:jc w:val="center"/>
              <w:rPr>
                <w:rFonts w:ascii="Tahoma" w:eastAsia="Times New Roman" w:hAnsi="Tahoma" w:cs="Tahoma"/>
                <w:color w:val="000000"/>
                <w:sz w:val="19"/>
                <w:szCs w:val="19"/>
              </w:rPr>
            </w:pPr>
          </w:p>
        </w:tc>
        <w:tc>
          <w:tcPr>
            <w:tcW w:w="5328" w:type="dxa"/>
            <w:tcBorders>
              <w:top w:val="outset" w:sz="6" w:space="0" w:color="auto"/>
              <w:left w:val="outset" w:sz="6" w:space="0" w:color="auto"/>
              <w:bottom w:val="outset" w:sz="6" w:space="0" w:color="auto"/>
              <w:right w:val="outset" w:sz="6" w:space="0" w:color="auto"/>
            </w:tcBorders>
            <w:hideMark/>
          </w:tcPr>
          <w:p w:rsidR="00D46FFB" w:rsidRPr="00D46FFB" w:rsidRDefault="00D46FFB"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Other</w:t>
            </w:r>
            <w:r w:rsidRPr="00D46FFB">
              <w:rPr>
                <w:rFonts w:ascii="Tahoma" w:eastAsia="Times New Roman" w:hAnsi="Tahoma" w:cs="Tahoma"/>
                <w:color w:val="000000"/>
                <w:sz w:val="19"/>
                <w:szCs w:val="19"/>
              </w:rPr>
              <w:br/>
              <w:t> </w:t>
            </w:r>
          </w:p>
        </w:tc>
      </w:tr>
      <w:tr w:rsidR="004211AE" w:rsidRPr="00D46FFB" w:rsidTr="004211AE">
        <w:trPr>
          <w:tblCellSpacing w:w="15" w:type="dxa"/>
        </w:trPr>
        <w:tc>
          <w:tcPr>
            <w:tcW w:w="5367" w:type="dxa"/>
            <w:gridSpan w:val="2"/>
            <w:tcBorders>
              <w:top w:val="outset" w:sz="6" w:space="0" w:color="auto"/>
              <w:left w:val="outset" w:sz="6" w:space="0" w:color="auto"/>
              <w:bottom w:val="outset" w:sz="6" w:space="0" w:color="auto"/>
              <w:right w:val="outset" w:sz="6" w:space="0" w:color="auto"/>
            </w:tcBorders>
          </w:tcPr>
          <w:p w:rsidR="004211AE" w:rsidRPr="00D46FFB" w:rsidRDefault="004211AE" w:rsidP="001234A0">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Protective Gloves</w:t>
            </w:r>
          </w:p>
          <w:p w:rsidR="004211AE" w:rsidRPr="00D46FFB" w:rsidRDefault="004211AE" w:rsidP="001234A0">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br/>
              <w:t> </w:t>
            </w:r>
          </w:p>
        </w:tc>
        <w:tc>
          <w:tcPr>
            <w:tcW w:w="5328" w:type="dxa"/>
            <w:tcBorders>
              <w:top w:val="outset" w:sz="6" w:space="0" w:color="auto"/>
              <w:left w:val="outset" w:sz="6" w:space="0" w:color="auto"/>
              <w:bottom w:val="outset" w:sz="6" w:space="0" w:color="auto"/>
              <w:right w:val="outset" w:sz="6" w:space="0" w:color="auto"/>
            </w:tcBorders>
          </w:tcPr>
          <w:p w:rsidR="004211AE" w:rsidRPr="00D46FFB" w:rsidRDefault="004211AE"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Eye Protection</w:t>
            </w:r>
          </w:p>
        </w:tc>
      </w:tr>
      <w:tr w:rsidR="004211AE" w:rsidRPr="00D46FFB" w:rsidTr="004211AE">
        <w:trPr>
          <w:tblCellSpacing w:w="15" w:type="dxa"/>
        </w:trPr>
        <w:tc>
          <w:tcPr>
            <w:tcW w:w="10725" w:type="dxa"/>
            <w:gridSpan w:val="3"/>
            <w:tcBorders>
              <w:top w:val="outset" w:sz="6" w:space="0" w:color="auto"/>
              <w:left w:val="outset" w:sz="6" w:space="0" w:color="auto"/>
              <w:bottom w:val="outset" w:sz="6" w:space="0" w:color="auto"/>
              <w:right w:val="outset" w:sz="6" w:space="0" w:color="auto"/>
            </w:tcBorders>
            <w:vAlign w:val="center"/>
          </w:tcPr>
          <w:p w:rsidR="004211AE" w:rsidRDefault="004211AE"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Other Protective Clothing or Equipment</w:t>
            </w:r>
          </w:p>
          <w:p w:rsidR="004211AE" w:rsidRDefault="004211AE" w:rsidP="00D46FFB">
            <w:pPr>
              <w:spacing w:after="0" w:line="240" w:lineRule="auto"/>
              <w:jc w:val="center"/>
              <w:rPr>
                <w:rFonts w:ascii="Tahoma" w:eastAsia="Times New Roman" w:hAnsi="Tahoma" w:cs="Tahoma"/>
                <w:color w:val="000000"/>
                <w:sz w:val="19"/>
                <w:szCs w:val="19"/>
              </w:rPr>
            </w:pPr>
          </w:p>
          <w:p w:rsidR="004211AE" w:rsidRPr="00D46FFB" w:rsidRDefault="004211AE" w:rsidP="00D46FFB">
            <w:pPr>
              <w:spacing w:after="0" w:line="240" w:lineRule="auto"/>
              <w:jc w:val="center"/>
              <w:rPr>
                <w:rFonts w:ascii="Tahoma" w:eastAsia="Times New Roman" w:hAnsi="Tahoma" w:cs="Tahoma"/>
                <w:color w:val="000000"/>
                <w:sz w:val="19"/>
                <w:szCs w:val="19"/>
              </w:rPr>
            </w:pPr>
          </w:p>
        </w:tc>
      </w:tr>
      <w:tr w:rsidR="004211AE" w:rsidRPr="00D46FFB" w:rsidTr="004211AE">
        <w:trPr>
          <w:tblCellSpacing w:w="15" w:type="dxa"/>
        </w:trPr>
        <w:tc>
          <w:tcPr>
            <w:tcW w:w="10725" w:type="dxa"/>
            <w:gridSpan w:val="3"/>
            <w:tcBorders>
              <w:top w:val="outset" w:sz="6" w:space="0" w:color="auto"/>
              <w:left w:val="outset" w:sz="6" w:space="0" w:color="auto"/>
              <w:bottom w:val="outset" w:sz="6" w:space="0" w:color="auto"/>
              <w:right w:val="outset" w:sz="6" w:space="0" w:color="auto"/>
            </w:tcBorders>
            <w:vAlign w:val="center"/>
          </w:tcPr>
          <w:p w:rsidR="004211AE" w:rsidRDefault="004211AE" w:rsidP="00D46FFB">
            <w:pPr>
              <w:spacing w:after="0" w:line="240" w:lineRule="auto"/>
              <w:jc w:val="center"/>
              <w:rPr>
                <w:rFonts w:ascii="Tahoma" w:eastAsia="Times New Roman" w:hAnsi="Tahoma" w:cs="Tahoma"/>
                <w:color w:val="000000"/>
                <w:sz w:val="19"/>
                <w:szCs w:val="19"/>
              </w:rPr>
            </w:pPr>
            <w:r w:rsidRPr="00D46FFB">
              <w:rPr>
                <w:rFonts w:ascii="Tahoma" w:eastAsia="Times New Roman" w:hAnsi="Tahoma" w:cs="Tahoma"/>
                <w:color w:val="000000"/>
                <w:sz w:val="19"/>
                <w:szCs w:val="19"/>
              </w:rPr>
              <w:t>Work/Hygienic Practices</w:t>
            </w:r>
          </w:p>
          <w:p w:rsidR="004211AE" w:rsidRDefault="004211AE" w:rsidP="00D46FFB">
            <w:pPr>
              <w:spacing w:after="0" w:line="240" w:lineRule="auto"/>
              <w:jc w:val="center"/>
              <w:rPr>
                <w:rFonts w:ascii="Tahoma" w:eastAsia="Times New Roman" w:hAnsi="Tahoma" w:cs="Tahoma"/>
                <w:color w:val="000000"/>
                <w:sz w:val="19"/>
                <w:szCs w:val="19"/>
              </w:rPr>
            </w:pPr>
          </w:p>
          <w:p w:rsidR="004211AE" w:rsidRPr="00D46FFB" w:rsidRDefault="004211AE" w:rsidP="00D46FFB">
            <w:pPr>
              <w:spacing w:after="0" w:line="240" w:lineRule="auto"/>
              <w:jc w:val="center"/>
              <w:rPr>
                <w:rFonts w:ascii="Tahoma" w:eastAsia="Times New Roman" w:hAnsi="Tahoma" w:cs="Tahoma"/>
                <w:color w:val="000000"/>
                <w:sz w:val="19"/>
                <w:szCs w:val="19"/>
              </w:rPr>
            </w:pPr>
          </w:p>
        </w:tc>
      </w:tr>
    </w:tbl>
    <w:p w:rsidR="00D46FFB" w:rsidRPr="00D46FFB" w:rsidRDefault="00D46FFB" w:rsidP="00D46FFB">
      <w:pPr>
        <w:shd w:val="clear" w:color="auto" w:fill="FFFFFF"/>
        <w:spacing w:after="0" w:line="240" w:lineRule="auto"/>
        <w:rPr>
          <w:rFonts w:ascii="Tahoma" w:eastAsia="Times New Roman" w:hAnsi="Tahoma" w:cs="Tahoma"/>
          <w:vanish/>
          <w:sz w:val="24"/>
          <w:szCs w:val="24"/>
        </w:rPr>
      </w:pPr>
    </w:p>
    <w:p w:rsidR="00D46FFB" w:rsidRPr="00D46FFB" w:rsidRDefault="00D46FFB" w:rsidP="00D46FFB">
      <w:pPr>
        <w:shd w:val="clear" w:color="auto" w:fill="FFFFFF"/>
        <w:spacing w:after="0" w:line="240" w:lineRule="auto"/>
        <w:rPr>
          <w:rFonts w:ascii="Tahoma" w:eastAsia="Times New Roman" w:hAnsi="Tahoma" w:cs="Tahoma"/>
          <w:vanish/>
          <w:sz w:val="24"/>
          <w:szCs w:val="24"/>
        </w:rPr>
      </w:pPr>
    </w:p>
    <w:tbl>
      <w:tblPr>
        <w:tblW w:w="9150" w:type="dxa"/>
        <w:tblCellSpacing w:w="15" w:type="dxa"/>
        <w:tblCellMar>
          <w:top w:w="30" w:type="dxa"/>
          <w:left w:w="30" w:type="dxa"/>
          <w:bottom w:w="30" w:type="dxa"/>
          <w:right w:w="30" w:type="dxa"/>
        </w:tblCellMar>
        <w:tblLook w:val="04A0" w:firstRow="1" w:lastRow="0" w:firstColumn="1" w:lastColumn="0" w:noHBand="0" w:noVBand="1"/>
      </w:tblPr>
      <w:tblGrid>
        <w:gridCol w:w="9150"/>
      </w:tblGrid>
      <w:tr w:rsidR="00D46FFB" w:rsidRPr="00D46FFB" w:rsidTr="00D46FFB">
        <w:trPr>
          <w:tblCellSpacing w:w="15" w:type="dxa"/>
        </w:trPr>
        <w:tc>
          <w:tcPr>
            <w:tcW w:w="0" w:type="auto"/>
          </w:tcPr>
          <w:p w:rsidR="00D46FFB" w:rsidRPr="00D46FFB" w:rsidRDefault="00D46FFB" w:rsidP="00D46FFB">
            <w:pPr>
              <w:spacing w:after="0" w:line="240" w:lineRule="auto"/>
              <w:jc w:val="right"/>
              <w:rPr>
                <w:rFonts w:ascii="Tahoma" w:eastAsia="Times New Roman" w:hAnsi="Tahoma" w:cs="Tahoma"/>
                <w:color w:val="000000"/>
                <w:sz w:val="19"/>
                <w:szCs w:val="19"/>
              </w:rPr>
            </w:pPr>
          </w:p>
        </w:tc>
      </w:tr>
    </w:tbl>
    <w:p w:rsidR="003A71F6" w:rsidRDefault="003A71F6" w:rsidP="003A71F6">
      <w:pPr>
        <w:numPr>
          <w:ilvl w:val="12"/>
          <w:numId w:val="0"/>
        </w:numPr>
        <w:spacing w:before="60" w:after="60"/>
        <w:rPr>
          <w:sz w:val="24"/>
        </w:rPr>
      </w:pPr>
      <w:r>
        <w:rPr>
          <w:sz w:val="24"/>
        </w:rPr>
        <w:t>Each MSDS must be reviewed for correctness and completeness every three years.</w:t>
      </w:r>
    </w:p>
    <w:p w:rsidR="003A71F6" w:rsidRDefault="003A71F6" w:rsidP="003A71F6">
      <w:pPr>
        <w:numPr>
          <w:ilvl w:val="12"/>
          <w:numId w:val="0"/>
        </w:numPr>
        <w:spacing w:before="60" w:after="60"/>
        <w:rPr>
          <w:sz w:val="24"/>
        </w:rPr>
      </w:pPr>
    </w:p>
    <w:p w:rsidR="003A71F6" w:rsidRDefault="003A71F6" w:rsidP="003A71F6">
      <w:pPr>
        <w:numPr>
          <w:ilvl w:val="12"/>
          <w:numId w:val="0"/>
        </w:numPr>
        <w:spacing w:before="60" w:after="60"/>
        <w:rPr>
          <w:sz w:val="24"/>
        </w:rPr>
      </w:pPr>
      <w:r>
        <w:rPr>
          <w:sz w:val="24"/>
        </w:rPr>
        <w:t xml:space="preserve">Reviewed by _______________________________   </w:t>
      </w:r>
    </w:p>
    <w:p w:rsidR="003A71F6" w:rsidRDefault="003A71F6" w:rsidP="003A71F6">
      <w:pPr>
        <w:numPr>
          <w:ilvl w:val="12"/>
          <w:numId w:val="0"/>
        </w:numPr>
        <w:spacing w:before="60" w:after="60"/>
        <w:rPr>
          <w:sz w:val="24"/>
        </w:rPr>
      </w:pPr>
    </w:p>
    <w:p w:rsidR="003A71F6" w:rsidRDefault="003A71F6" w:rsidP="003A71F6">
      <w:pPr>
        <w:numPr>
          <w:ilvl w:val="12"/>
          <w:numId w:val="0"/>
        </w:numPr>
        <w:spacing w:before="60" w:after="60"/>
        <w:rPr>
          <w:sz w:val="24"/>
        </w:rPr>
      </w:pPr>
      <w:r>
        <w:rPr>
          <w:sz w:val="24"/>
        </w:rPr>
        <w:t xml:space="preserve">Reviewed by _______________________________   </w:t>
      </w:r>
    </w:p>
    <w:p w:rsidR="003A71F6" w:rsidRDefault="003A71F6" w:rsidP="003A71F6">
      <w:pPr>
        <w:numPr>
          <w:ilvl w:val="12"/>
          <w:numId w:val="0"/>
        </w:numPr>
        <w:spacing w:before="60" w:after="60"/>
        <w:rPr>
          <w:sz w:val="24"/>
        </w:rPr>
      </w:pPr>
    </w:p>
    <w:p w:rsidR="003A71F6" w:rsidRDefault="003A71F6" w:rsidP="003A71F6">
      <w:pPr>
        <w:numPr>
          <w:ilvl w:val="12"/>
          <w:numId w:val="0"/>
        </w:numPr>
        <w:spacing w:before="60" w:after="60"/>
        <w:rPr>
          <w:sz w:val="24"/>
        </w:rPr>
      </w:pPr>
      <w:r>
        <w:rPr>
          <w:sz w:val="24"/>
        </w:rPr>
        <w:t xml:space="preserve">Revision date ________________________  </w:t>
      </w:r>
    </w:p>
    <w:p w:rsidR="003A71F6" w:rsidRDefault="003A71F6">
      <w:pPr>
        <w:rPr>
          <w:sz w:val="24"/>
        </w:rPr>
      </w:pPr>
      <w:r>
        <w:rPr>
          <w:sz w:val="24"/>
        </w:rPr>
        <w:br w:type="page"/>
      </w:r>
    </w:p>
    <w:p w:rsidR="003A71F6" w:rsidRPr="003A71F6" w:rsidRDefault="003A71F6" w:rsidP="004211AE">
      <w:pPr>
        <w:pStyle w:val="BodyStyle"/>
        <w:numPr>
          <w:ilvl w:val="12"/>
          <w:numId w:val="0"/>
        </w:numPr>
        <w:tabs>
          <w:tab w:val="left" w:pos="0"/>
        </w:tabs>
        <w:jc w:val="center"/>
        <w:rPr>
          <w:rFonts w:ascii="Arial" w:hAnsi="Arial" w:cs="Arial"/>
        </w:rPr>
      </w:pPr>
      <w:r w:rsidRPr="00FA7BC8">
        <w:rPr>
          <w:rFonts w:ascii="Arial" w:hAnsi="Arial" w:cs="Arial"/>
          <w:b/>
          <w:sz w:val="28"/>
          <w:szCs w:val="22"/>
        </w:rPr>
        <w:t>INSTRUCTIONS FOR PREPARING</w:t>
      </w:r>
      <w:r w:rsidR="004211AE">
        <w:rPr>
          <w:rFonts w:ascii="Arial" w:hAnsi="Arial" w:cs="Arial"/>
          <w:b/>
          <w:sz w:val="28"/>
          <w:szCs w:val="22"/>
        </w:rPr>
        <w:t xml:space="preserve"> </w:t>
      </w:r>
      <w:r w:rsidR="004211AE">
        <w:rPr>
          <w:rFonts w:ascii="Arial" w:hAnsi="Arial" w:cs="Arial"/>
          <w:b/>
          <w:sz w:val="28"/>
          <w:szCs w:val="22"/>
        </w:rPr>
        <w:br/>
      </w:r>
      <w:r w:rsidRPr="00FA7BC8">
        <w:rPr>
          <w:rFonts w:ascii="Arial" w:hAnsi="Arial" w:cs="Arial"/>
          <w:b/>
          <w:sz w:val="28"/>
        </w:rPr>
        <w:t>MATERIAL SAFETY DATA SHEETS</w:t>
      </w:r>
      <w:r w:rsidR="004211AE">
        <w:rPr>
          <w:rFonts w:ascii="Arial" w:hAnsi="Arial" w:cs="Arial"/>
          <w:b/>
          <w:sz w:val="28"/>
        </w:rPr>
        <w:t xml:space="preserve"> (MSDS)</w:t>
      </w:r>
      <w:r w:rsidRPr="00FA7BC8">
        <w:rPr>
          <w:rFonts w:ascii="Arial" w:hAnsi="Arial" w:cs="Arial"/>
          <w:b/>
          <w:sz w:val="28"/>
        </w:rPr>
        <w:br/>
      </w:r>
    </w:p>
    <w:p w:rsidR="003A71F6" w:rsidRPr="003A71F6" w:rsidRDefault="003A71F6" w:rsidP="004211AE">
      <w:pPr>
        <w:numPr>
          <w:ilvl w:val="12"/>
          <w:numId w:val="0"/>
        </w:numPr>
        <w:spacing w:before="60" w:after="60" w:line="240" w:lineRule="auto"/>
        <w:rPr>
          <w:rFonts w:ascii="Arial" w:hAnsi="Arial" w:cs="Arial"/>
        </w:rPr>
      </w:pPr>
      <w:r w:rsidRPr="003A71F6">
        <w:rPr>
          <w:rFonts w:ascii="Arial" w:hAnsi="Arial" w:cs="Arial"/>
        </w:rPr>
        <w:t xml:space="preserve">Chemical manufacturers are required by law to supply "Material Safety Data Sheets" </w:t>
      </w:r>
      <w:r w:rsidR="004211AE">
        <w:rPr>
          <w:rFonts w:ascii="Arial" w:hAnsi="Arial" w:cs="Arial"/>
        </w:rPr>
        <w:t>(</w:t>
      </w:r>
      <w:r w:rsidR="00FA7BC8">
        <w:rPr>
          <w:rFonts w:ascii="Arial" w:hAnsi="Arial" w:cs="Arial"/>
        </w:rPr>
        <w:t>MSDS</w:t>
      </w:r>
      <w:r w:rsidR="004211AE">
        <w:rPr>
          <w:rFonts w:ascii="Arial" w:hAnsi="Arial" w:cs="Arial"/>
        </w:rPr>
        <w:t>)</w:t>
      </w:r>
      <w:r w:rsidR="00FA7BC8">
        <w:rPr>
          <w:rFonts w:ascii="Arial" w:hAnsi="Arial" w:cs="Arial"/>
        </w:rPr>
        <w:t xml:space="preserve"> </w:t>
      </w:r>
      <w:r w:rsidRPr="003A71F6">
        <w:rPr>
          <w:rFonts w:ascii="Arial" w:hAnsi="Arial" w:cs="Arial"/>
        </w:rPr>
        <w:t xml:space="preserve">(OSHA Form 174 or its equivalent) upon request by their customers.  </w:t>
      </w:r>
      <w:r w:rsidR="004211AE" w:rsidRPr="004211AE">
        <w:rPr>
          <w:rFonts w:ascii="Arial" w:hAnsi="Arial" w:cs="Arial"/>
        </w:rPr>
        <w:t>Each MSDS must be reviewed for correctness and completeness every three years.</w:t>
      </w:r>
      <w:r w:rsidR="004211AE">
        <w:rPr>
          <w:rFonts w:ascii="Arial" w:hAnsi="Arial" w:cs="Arial"/>
        </w:rPr>
        <w:t xml:space="preserve"> </w:t>
      </w:r>
      <w:r w:rsidRPr="003A71F6">
        <w:rPr>
          <w:rFonts w:ascii="Arial" w:hAnsi="Arial" w:cs="Arial"/>
        </w:rPr>
        <w:t xml:space="preserve">These sheets have nine sections </w:t>
      </w:r>
      <w:r>
        <w:rPr>
          <w:rFonts w:ascii="Arial" w:hAnsi="Arial" w:cs="Arial"/>
        </w:rPr>
        <w:t>providing</w:t>
      </w:r>
      <w:r w:rsidRPr="003A71F6">
        <w:rPr>
          <w:rFonts w:ascii="Arial" w:hAnsi="Arial" w:cs="Arial"/>
        </w:rPr>
        <w:t xml:space="preserve"> information about the chemical.  </w:t>
      </w:r>
    </w:p>
    <w:p w:rsidR="003A71F6" w:rsidRPr="003A71F6" w:rsidRDefault="003A71F6" w:rsidP="003A71F6">
      <w:pPr>
        <w:pStyle w:val="BodyStyle"/>
        <w:numPr>
          <w:ilvl w:val="12"/>
          <w:numId w:val="0"/>
        </w:numPr>
        <w:tabs>
          <w:tab w:val="left" w:pos="0"/>
          <w:tab w:val="left" w:pos="1080"/>
        </w:tabs>
        <w:ind w:left="1080" w:hanging="1080"/>
        <w:rPr>
          <w:rFonts w:ascii="Arial" w:hAnsi="Arial" w:cs="Arial"/>
          <w:sz w:val="22"/>
          <w:szCs w:val="22"/>
        </w:rPr>
      </w:pPr>
    </w:p>
    <w:p w:rsidR="003A71F6" w:rsidRPr="003A71F6" w:rsidRDefault="003A71F6" w:rsidP="003A71F6">
      <w:pPr>
        <w:numPr>
          <w:ilvl w:val="12"/>
          <w:numId w:val="0"/>
        </w:numPr>
        <w:spacing w:after="0" w:line="240" w:lineRule="auto"/>
        <w:ind w:firstLine="720"/>
        <w:rPr>
          <w:rFonts w:ascii="Arial" w:hAnsi="Arial" w:cs="Arial"/>
        </w:rPr>
      </w:pPr>
      <w:r w:rsidRPr="003A71F6">
        <w:rPr>
          <w:rFonts w:ascii="Arial" w:hAnsi="Arial" w:cs="Arial"/>
        </w:rPr>
        <w:t xml:space="preserve">This section provides information for researchers who may need to prepare a MSDS.  An MSDS must be prepared for a newly created </w:t>
      </w:r>
      <w:r w:rsidRPr="003A71F6">
        <w:rPr>
          <w:rFonts w:ascii="Arial" w:hAnsi="Arial" w:cs="Arial"/>
          <w:i/>
        </w:rPr>
        <w:t>hazardous</w:t>
      </w:r>
      <w:r w:rsidRPr="003A71F6">
        <w:rPr>
          <w:rFonts w:ascii="Arial" w:hAnsi="Arial" w:cs="Arial"/>
        </w:rPr>
        <w:t xml:space="preserve"> chemical or an intermediate product produced in a chemical reaction if:</w:t>
      </w:r>
      <w:r w:rsidR="004211AE">
        <w:rPr>
          <w:rFonts w:ascii="Arial" w:hAnsi="Arial" w:cs="Arial"/>
        </w:rPr>
        <w:br/>
      </w:r>
    </w:p>
    <w:p w:rsidR="003A71F6" w:rsidRPr="003A71F6" w:rsidRDefault="003A71F6" w:rsidP="003A71F6">
      <w:pPr>
        <w:pStyle w:val="ListParagraph"/>
        <w:numPr>
          <w:ilvl w:val="0"/>
          <w:numId w:val="1"/>
        </w:numPr>
        <w:spacing w:after="0" w:line="240" w:lineRule="auto"/>
        <w:rPr>
          <w:rFonts w:ascii="Arial" w:hAnsi="Arial" w:cs="Arial"/>
        </w:rPr>
      </w:pPr>
      <w:r w:rsidRPr="003A71F6">
        <w:rPr>
          <w:rFonts w:ascii="Arial" w:hAnsi="Arial" w:cs="Arial"/>
        </w:rPr>
        <w:t>The newly created chemical or intermediate is going to be shipped by the originator off a LSCS Campus or,</w:t>
      </w:r>
      <w:r w:rsidR="0095541D">
        <w:rPr>
          <w:rFonts w:ascii="Arial" w:hAnsi="Arial" w:cs="Arial"/>
        </w:rPr>
        <w:br/>
      </w:r>
    </w:p>
    <w:p w:rsidR="003A71F6" w:rsidRPr="003A71F6" w:rsidRDefault="003A71F6" w:rsidP="003A71F6">
      <w:pPr>
        <w:pStyle w:val="ListParagraph"/>
        <w:numPr>
          <w:ilvl w:val="0"/>
          <w:numId w:val="1"/>
        </w:numPr>
        <w:spacing w:after="0" w:line="240" w:lineRule="auto"/>
        <w:rPr>
          <w:rFonts w:ascii="Arial" w:hAnsi="Arial" w:cs="Arial"/>
        </w:rPr>
      </w:pPr>
      <w:r w:rsidRPr="003A71F6">
        <w:rPr>
          <w:rFonts w:ascii="Arial" w:hAnsi="Arial" w:cs="Arial"/>
        </w:rPr>
        <w:t xml:space="preserve">The newly created chemical or intermediate is going to be kept in the lab on an on-going basis for use by LSCS employees or students, in the lab where it was originally made or at another LSCS facility. </w:t>
      </w:r>
    </w:p>
    <w:p w:rsidR="00FA7BC8" w:rsidRDefault="00FA7BC8"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r w:rsidRPr="004211AE">
        <w:rPr>
          <w:rFonts w:ascii="Arial" w:hAnsi="Arial" w:cs="Arial"/>
          <w:b/>
        </w:rPr>
        <w:t>Note:</w:t>
      </w:r>
      <w:r w:rsidRPr="003A71F6">
        <w:rPr>
          <w:rFonts w:ascii="Arial" w:hAnsi="Arial" w:cs="Arial"/>
        </w:rPr>
        <w:t xml:space="preserve"> If a newly created </w:t>
      </w:r>
      <w:r w:rsidRPr="003A71F6">
        <w:rPr>
          <w:rFonts w:ascii="Arial" w:hAnsi="Arial" w:cs="Arial"/>
          <w:i/>
        </w:rPr>
        <w:t xml:space="preserve">hazardous </w:t>
      </w:r>
      <w:r w:rsidRPr="003A71F6">
        <w:rPr>
          <w:rFonts w:ascii="Arial" w:hAnsi="Arial" w:cs="Arial"/>
        </w:rPr>
        <w:t>chemical is going to be used by a number of persons over time it may be required that a Right-to-Know chemical container label be prepared for the new chemical.</w:t>
      </w:r>
    </w:p>
    <w:p w:rsidR="00FA7BC8" w:rsidRDefault="00FA7BC8" w:rsidP="003A71F6">
      <w:pPr>
        <w:numPr>
          <w:ilvl w:val="12"/>
          <w:numId w:val="0"/>
        </w:numPr>
        <w:spacing w:after="0" w:line="240" w:lineRule="auto"/>
        <w:rPr>
          <w:rFonts w:ascii="Arial" w:hAnsi="Arial" w:cs="Arial"/>
        </w:rPr>
      </w:pPr>
    </w:p>
    <w:p w:rsidR="003A71F6" w:rsidRDefault="003A71F6" w:rsidP="003A71F6">
      <w:pPr>
        <w:numPr>
          <w:ilvl w:val="12"/>
          <w:numId w:val="0"/>
        </w:numPr>
        <w:spacing w:after="0" w:line="240" w:lineRule="auto"/>
        <w:rPr>
          <w:rFonts w:ascii="Arial" w:hAnsi="Arial" w:cs="Arial"/>
        </w:rPr>
      </w:pPr>
      <w:r w:rsidRPr="003A71F6">
        <w:rPr>
          <w:rFonts w:ascii="Arial" w:hAnsi="Arial" w:cs="Arial"/>
        </w:rPr>
        <w:t>It is important to remember that all sections must be completed when writing an MSDS. If a particular characteristic is unknown, you must state "unknown", "not available" or "N/A." Under Section V, Health Hazard Data, you may be able to say, "The toxicological effects of this chemical have not (or not fully) been investigated."</w:t>
      </w:r>
    </w:p>
    <w:p w:rsidR="00FA7BC8" w:rsidRDefault="00FA7BC8" w:rsidP="003A71F6">
      <w:pPr>
        <w:numPr>
          <w:ilvl w:val="12"/>
          <w:numId w:val="0"/>
        </w:numPr>
        <w:spacing w:after="0" w:line="240" w:lineRule="auto"/>
        <w:rPr>
          <w:rFonts w:ascii="Arial" w:hAnsi="Arial" w:cs="Arial"/>
        </w:rPr>
      </w:pPr>
    </w:p>
    <w:p w:rsidR="003A71F6" w:rsidRDefault="00FA7BC8" w:rsidP="003A71F6">
      <w:pPr>
        <w:numPr>
          <w:ilvl w:val="12"/>
          <w:numId w:val="0"/>
        </w:numPr>
        <w:spacing w:after="0" w:line="240" w:lineRule="auto"/>
        <w:rPr>
          <w:rFonts w:ascii="Arial" w:hAnsi="Arial" w:cs="Arial"/>
        </w:rPr>
      </w:pPr>
      <w:r>
        <w:rPr>
          <w:rFonts w:ascii="Arial" w:hAnsi="Arial" w:cs="Arial"/>
        </w:rPr>
        <w:t>Below are</w:t>
      </w:r>
      <w:r w:rsidRPr="003A71F6">
        <w:rPr>
          <w:rFonts w:ascii="Arial" w:hAnsi="Arial" w:cs="Arial"/>
        </w:rPr>
        <w:t xml:space="preserve"> section-by-section </w:t>
      </w:r>
      <w:r>
        <w:rPr>
          <w:rFonts w:ascii="Arial" w:hAnsi="Arial" w:cs="Arial"/>
        </w:rPr>
        <w:t>instructions to follow in preparing</w:t>
      </w:r>
      <w:r w:rsidRPr="003A71F6">
        <w:rPr>
          <w:rFonts w:ascii="Arial" w:hAnsi="Arial" w:cs="Arial"/>
        </w:rPr>
        <w:t xml:space="preserve"> a </w:t>
      </w:r>
      <w:r>
        <w:rPr>
          <w:rFonts w:ascii="Arial" w:hAnsi="Arial" w:cs="Arial"/>
        </w:rPr>
        <w:t>MSDS. If additional as</w:t>
      </w:r>
      <w:r w:rsidR="003A71F6" w:rsidRPr="003A71F6">
        <w:rPr>
          <w:rFonts w:ascii="Arial" w:hAnsi="Arial" w:cs="Arial"/>
        </w:rPr>
        <w:t xml:space="preserve">sistance </w:t>
      </w:r>
      <w:r>
        <w:rPr>
          <w:rFonts w:ascii="Arial" w:hAnsi="Arial" w:cs="Arial"/>
        </w:rPr>
        <w:t xml:space="preserve">is needed in </w:t>
      </w:r>
      <w:r w:rsidR="003A71F6" w:rsidRPr="003A71F6">
        <w:rPr>
          <w:rFonts w:ascii="Arial" w:hAnsi="Arial" w:cs="Arial"/>
        </w:rPr>
        <w:t>completing a MSDS, please contact your Lab Manager or the LSCS O</w:t>
      </w:r>
      <w:r w:rsidR="004211AE">
        <w:rPr>
          <w:rFonts w:ascii="Arial" w:hAnsi="Arial" w:cs="Arial"/>
        </w:rPr>
        <w:t>ffice of Emergency Management at 281.290.3680 or emailing denise.c.walker@lonestar.edu.</w:t>
      </w:r>
    </w:p>
    <w:p w:rsidR="003A71F6" w:rsidRDefault="003A71F6"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p>
    <w:p w:rsidR="003A71F6" w:rsidRPr="00FA7BC8" w:rsidRDefault="003A71F6" w:rsidP="00FA7BC8">
      <w:pPr>
        <w:numPr>
          <w:ilvl w:val="12"/>
          <w:numId w:val="0"/>
        </w:numPr>
        <w:spacing w:after="0" w:line="240" w:lineRule="auto"/>
        <w:jc w:val="center"/>
        <w:rPr>
          <w:rFonts w:ascii="Arial" w:hAnsi="Arial" w:cs="Arial"/>
          <w:sz w:val="28"/>
        </w:rPr>
      </w:pPr>
      <w:r w:rsidRPr="00FA7BC8">
        <w:rPr>
          <w:rFonts w:ascii="Arial" w:hAnsi="Arial" w:cs="Arial"/>
          <w:b/>
          <w:sz w:val="28"/>
        </w:rPr>
        <w:t>SECTION I</w:t>
      </w:r>
    </w:p>
    <w:p w:rsidR="00FA7BC8" w:rsidRDefault="003A71F6" w:rsidP="003A71F6">
      <w:pPr>
        <w:numPr>
          <w:ilvl w:val="12"/>
          <w:numId w:val="0"/>
        </w:numPr>
        <w:spacing w:after="0" w:line="240" w:lineRule="auto"/>
        <w:rPr>
          <w:rFonts w:ascii="Arial" w:hAnsi="Arial" w:cs="Arial"/>
        </w:rPr>
      </w:pPr>
      <w:r w:rsidRPr="003A71F6">
        <w:rPr>
          <w:rFonts w:ascii="Arial" w:hAnsi="Arial" w:cs="Arial"/>
        </w:rPr>
        <w:t xml:space="preserve">This section </w:t>
      </w:r>
      <w:r w:rsidR="00FA7BC8">
        <w:rPr>
          <w:rFonts w:ascii="Arial" w:hAnsi="Arial" w:cs="Arial"/>
        </w:rPr>
        <w:t>lists</w:t>
      </w:r>
      <w:r w:rsidRPr="003A71F6">
        <w:rPr>
          <w:rFonts w:ascii="Arial" w:hAnsi="Arial" w:cs="Arial"/>
        </w:rPr>
        <w:t xml:space="preserve"> the name and address of the manufacturer and an emergency phone number where questions about toxicity and chemical hazards can be directed.  Large chemical manufacturers have 24-hour hotlines </w:t>
      </w:r>
      <w:r w:rsidR="00FA7BC8">
        <w:rPr>
          <w:rFonts w:ascii="Arial" w:hAnsi="Arial" w:cs="Arial"/>
        </w:rPr>
        <w:t>serviced</w:t>
      </w:r>
      <w:r w:rsidRPr="003A71F6">
        <w:rPr>
          <w:rFonts w:ascii="Arial" w:hAnsi="Arial" w:cs="Arial"/>
        </w:rPr>
        <w:t xml:space="preserve"> by chemical safety professionals who </w:t>
      </w:r>
      <w:r w:rsidR="00FA7BC8">
        <w:rPr>
          <w:rFonts w:ascii="Arial" w:hAnsi="Arial" w:cs="Arial"/>
        </w:rPr>
        <w:t>will</w:t>
      </w:r>
      <w:r w:rsidRPr="003A71F6">
        <w:rPr>
          <w:rFonts w:ascii="Arial" w:hAnsi="Arial" w:cs="Arial"/>
        </w:rPr>
        <w:t xml:space="preserve"> answer questions regarding spills, leaks, chemical exposure, fire hazard, etc.  </w:t>
      </w:r>
    </w:p>
    <w:p w:rsidR="00FA7BC8" w:rsidRDefault="00FA7BC8"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r w:rsidRPr="003A71F6">
        <w:rPr>
          <w:rFonts w:ascii="Arial" w:hAnsi="Arial" w:cs="Arial"/>
        </w:rPr>
        <w:t xml:space="preserve">Other information that may be contained in </w:t>
      </w:r>
      <w:r w:rsidR="004211AE">
        <w:rPr>
          <w:rFonts w:ascii="Arial" w:hAnsi="Arial" w:cs="Arial"/>
        </w:rPr>
        <w:t>this section are</w:t>
      </w:r>
      <w:r w:rsidRPr="003A71F6">
        <w:rPr>
          <w:rFonts w:ascii="Arial" w:hAnsi="Arial" w:cs="Arial"/>
        </w:rPr>
        <w:t>:</w:t>
      </w:r>
      <w:r w:rsidR="004211AE">
        <w:rPr>
          <w:rFonts w:ascii="Arial" w:hAnsi="Arial" w:cs="Arial"/>
        </w:rPr>
        <w:br/>
      </w:r>
    </w:p>
    <w:p w:rsidR="0095541D" w:rsidRDefault="003A71F6" w:rsidP="0095541D">
      <w:pPr>
        <w:pStyle w:val="ListParagraph"/>
        <w:numPr>
          <w:ilvl w:val="0"/>
          <w:numId w:val="3"/>
        </w:numPr>
        <w:spacing w:after="120" w:line="240" w:lineRule="auto"/>
        <w:rPr>
          <w:rFonts w:ascii="Arial" w:hAnsi="Arial" w:cs="Arial"/>
        </w:rPr>
      </w:pPr>
      <w:r w:rsidRPr="00FA7BC8">
        <w:rPr>
          <w:rFonts w:ascii="Arial" w:hAnsi="Arial" w:cs="Arial"/>
          <w:b/>
        </w:rPr>
        <w:t>Trade Name:</w:t>
      </w:r>
      <w:r w:rsidRPr="00FA7BC8">
        <w:rPr>
          <w:rFonts w:ascii="Arial" w:hAnsi="Arial" w:cs="Arial"/>
        </w:rPr>
        <w:t xml:space="preserve"> This is the manufacturer's name for the product.</w:t>
      </w:r>
    </w:p>
    <w:p w:rsidR="003A71F6" w:rsidRPr="00FA7BC8" w:rsidRDefault="003A71F6" w:rsidP="0095541D">
      <w:pPr>
        <w:pStyle w:val="ListParagraph"/>
        <w:spacing w:after="120" w:line="240" w:lineRule="auto"/>
        <w:rPr>
          <w:rFonts w:ascii="Arial" w:hAnsi="Arial" w:cs="Arial"/>
        </w:rPr>
      </w:pPr>
      <w:r w:rsidRPr="00FA7BC8">
        <w:rPr>
          <w:rFonts w:ascii="Arial" w:hAnsi="Arial" w:cs="Arial"/>
        </w:rPr>
        <w:t xml:space="preserve"> </w:t>
      </w:r>
    </w:p>
    <w:p w:rsidR="003A71F6" w:rsidRDefault="003A71F6" w:rsidP="0095541D">
      <w:pPr>
        <w:pStyle w:val="ListParagraph"/>
        <w:numPr>
          <w:ilvl w:val="0"/>
          <w:numId w:val="3"/>
        </w:numPr>
        <w:spacing w:after="120" w:line="240" w:lineRule="auto"/>
        <w:rPr>
          <w:rFonts w:ascii="Arial" w:hAnsi="Arial" w:cs="Arial"/>
        </w:rPr>
      </w:pPr>
      <w:r w:rsidRPr="00FA7BC8">
        <w:rPr>
          <w:rFonts w:ascii="Arial" w:hAnsi="Arial" w:cs="Arial"/>
          <w:b/>
        </w:rPr>
        <w:t>Chemical Name and Synonyms:</w:t>
      </w:r>
      <w:r w:rsidRPr="00FA7BC8">
        <w:rPr>
          <w:rFonts w:ascii="Arial" w:hAnsi="Arial" w:cs="Arial"/>
        </w:rPr>
        <w:t xml:space="preserve"> This refers to the generic or standard names for the chemical.</w:t>
      </w:r>
    </w:p>
    <w:p w:rsidR="0095541D" w:rsidRPr="0095541D" w:rsidRDefault="0095541D" w:rsidP="0095541D">
      <w:pPr>
        <w:pStyle w:val="ListParagraph"/>
        <w:rPr>
          <w:rFonts w:ascii="Arial" w:hAnsi="Arial" w:cs="Arial"/>
        </w:rPr>
      </w:pPr>
    </w:p>
    <w:p w:rsidR="003A71F6" w:rsidRPr="00FA7BC8" w:rsidRDefault="003A71F6" w:rsidP="004211AE">
      <w:pPr>
        <w:pStyle w:val="ListParagraph"/>
        <w:numPr>
          <w:ilvl w:val="0"/>
          <w:numId w:val="3"/>
        </w:numPr>
        <w:spacing w:after="0" w:line="240" w:lineRule="auto"/>
        <w:rPr>
          <w:rFonts w:ascii="Arial" w:hAnsi="Arial" w:cs="Arial"/>
        </w:rPr>
      </w:pPr>
      <w:r w:rsidRPr="00FA7BC8">
        <w:rPr>
          <w:rFonts w:ascii="Arial" w:hAnsi="Arial" w:cs="Arial"/>
          <w:b/>
        </w:rPr>
        <w:t>Chemical Family:</w:t>
      </w:r>
      <w:r w:rsidRPr="00FA7BC8">
        <w:rPr>
          <w:rFonts w:ascii="Arial" w:hAnsi="Arial" w:cs="Arial"/>
        </w:rPr>
        <w:t xml:space="preserve"> This classification allows one to group the substance along with a class of similar substances, such as mineral dusts, acids, caustics, etc. The potential hazards of a substance can sometimes be gauged by experience with other chemicals of that class.</w:t>
      </w:r>
    </w:p>
    <w:p w:rsidR="003A71F6" w:rsidRDefault="003A71F6" w:rsidP="003A71F6">
      <w:pPr>
        <w:numPr>
          <w:ilvl w:val="12"/>
          <w:numId w:val="0"/>
        </w:numPr>
        <w:spacing w:after="0" w:line="240" w:lineRule="auto"/>
        <w:rPr>
          <w:rFonts w:ascii="Arial" w:hAnsi="Arial" w:cs="Arial"/>
        </w:rPr>
      </w:pPr>
    </w:p>
    <w:p w:rsidR="004211AE" w:rsidRDefault="004211AE" w:rsidP="00FA7BC8">
      <w:pPr>
        <w:numPr>
          <w:ilvl w:val="12"/>
          <w:numId w:val="0"/>
        </w:numPr>
        <w:spacing w:after="0" w:line="240" w:lineRule="auto"/>
        <w:jc w:val="center"/>
        <w:rPr>
          <w:rFonts w:ascii="Arial" w:hAnsi="Arial" w:cs="Arial"/>
          <w:b/>
          <w:sz w:val="28"/>
        </w:rPr>
      </w:pPr>
    </w:p>
    <w:p w:rsidR="003A71F6" w:rsidRPr="00FA7BC8" w:rsidRDefault="003A71F6" w:rsidP="00FA7BC8">
      <w:pPr>
        <w:numPr>
          <w:ilvl w:val="12"/>
          <w:numId w:val="0"/>
        </w:numPr>
        <w:spacing w:after="0" w:line="240" w:lineRule="auto"/>
        <w:jc w:val="center"/>
        <w:rPr>
          <w:rFonts w:ascii="Arial" w:hAnsi="Arial" w:cs="Arial"/>
          <w:sz w:val="28"/>
        </w:rPr>
      </w:pPr>
      <w:r w:rsidRPr="00FA7BC8">
        <w:rPr>
          <w:rFonts w:ascii="Arial" w:hAnsi="Arial" w:cs="Arial"/>
          <w:b/>
          <w:sz w:val="28"/>
        </w:rPr>
        <w:t>SEC</w:t>
      </w:r>
      <w:r w:rsidR="00FA7BC8">
        <w:rPr>
          <w:rFonts w:ascii="Arial" w:hAnsi="Arial" w:cs="Arial"/>
          <w:b/>
          <w:sz w:val="28"/>
        </w:rPr>
        <w:t>TION II - HAZARDOUS INGREDIENTS</w:t>
      </w:r>
      <w:r w:rsidR="00FA7BC8" w:rsidRPr="0095541D">
        <w:rPr>
          <w:rFonts w:ascii="Arial" w:hAnsi="Arial" w:cs="Arial"/>
          <w:b/>
          <w:sz w:val="28"/>
        </w:rPr>
        <w:t>/I</w:t>
      </w:r>
      <w:r w:rsidR="0095541D">
        <w:rPr>
          <w:rFonts w:ascii="Arial" w:hAnsi="Arial" w:cs="Arial"/>
          <w:b/>
          <w:sz w:val="28"/>
        </w:rPr>
        <w:t>DENTITY INFORMATION</w:t>
      </w:r>
    </w:p>
    <w:p w:rsidR="003A71F6" w:rsidRDefault="003A71F6" w:rsidP="003A71F6">
      <w:pPr>
        <w:numPr>
          <w:ilvl w:val="12"/>
          <w:numId w:val="0"/>
        </w:numPr>
        <w:spacing w:after="0" w:line="240" w:lineRule="auto"/>
        <w:rPr>
          <w:rFonts w:ascii="Arial" w:hAnsi="Arial" w:cs="Arial"/>
        </w:rPr>
      </w:pPr>
      <w:r w:rsidRPr="003A71F6">
        <w:rPr>
          <w:rFonts w:ascii="Arial" w:hAnsi="Arial" w:cs="Arial"/>
        </w:rPr>
        <w:t>This section describes the percent composition of the substance, listing chemicals present in the mixture. It lists Threshold Limit Values</w:t>
      </w:r>
      <w:r w:rsidR="0095541D">
        <w:rPr>
          <w:rFonts w:ascii="Arial" w:hAnsi="Arial" w:cs="Arial"/>
        </w:rPr>
        <w:t xml:space="preserve"> (TLVs)</w:t>
      </w:r>
      <w:r w:rsidRPr="003A71F6">
        <w:rPr>
          <w:rFonts w:ascii="Arial" w:hAnsi="Arial" w:cs="Arial"/>
        </w:rPr>
        <w:t xml:space="preserve"> for </w:t>
      </w:r>
      <w:r w:rsidR="0095541D">
        <w:rPr>
          <w:rFonts w:ascii="Arial" w:hAnsi="Arial" w:cs="Arial"/>
        </w:rPr>
        <w:t>each</w:t>
      </w:r>
      <w:r w:rsidRPr="003A71F6">
        <w:rPr>
          <w:rFonts w:ascii="Arial" w:hAnsi="Arial" w:cs="Arial"/>
        </w:rPr>
        <w:t xml:space="preserve"> chemical present.</w:t>
      </w:r>
      <w:r w:rsidR="0095541D">
        <w:rPr>
          <w:rFonts w:ascii="Arial" w:hAnsi="Arial" w:cs="Arial"/>
        </w:rPr>
        <w:t xml:space="preserve"> </w:t>
      </w:r>
      <w:r w:rsidRPr="003A71F6">
        <w:rPr>
          <w:rFonts w:ascii="Arial" w:hAnsi="Arial" w:cs="Arial"/>
        </w:rPr>
        <w:t>T</w:t>
      </w:r>
      <w:r w:rsidR="0095541D">
        <w:rPr>
          <w:rFonts w:ascii="Arial" w:hAnsi="Arial" w:cs="Arial"/>
        </w:rPr>
        <w:t>LVs</w:t>
      </w:r>
      <w:r w:rsidRPr="003A71F6">
        <w:rPr>
          <w:rFonts w:ascii="Arial" w:hAnsi="Arial" w:cs="Arial"/>
        </w:rPr>
        <w:t xml:space="preserve"> are values for airborne toxic materials that are used as guides in the control of health hazards. They represent concentrations to which nearly all workers (workers without special sensitivities) can be exposed to for </w:t>
      </w:r>
      <w:r w:rsidR="0095541D">
        <w:rPr>
          <w:rFonts w:ascii="Arial" w:hAnsi="Arial" w:cs="Arial"/>
        </w:rPr>
        <w:t>extended</w:t>
      </w:r>
      <w:r w:rsidRPr="003A71F6">
        <w:rPr>
          <w:rFonts w:ascii="Arial" w:hAnsi="Arial" w:cs="Arial"/>
        </w:rPr>
        <w:t xml:space="preserve"> periods without harmful effect.  TLV's are usually expressed as parts per million (ppm), the parts of gas or vapor in each million parts of air.  TLV's are also expressed as mg/m</w:t>
      </w:r>
      <w:r w:rsidRPr="003A71F6">
        <w:rPr>
          <w:rFonts w:ascii="Arial" w:hAnsi="Arial" w:cs="Arial"/>
          <w:vertAlign w:val="superscript"/>
        </w:rPr>
        <w:t>3</w:t>
      </w:r>
      <w:r w:rsidRPr="003A71F6">
        <w:rPr>
          <w:rFonts w:ascii="Arial" w:hAnsi="Arial" w:cs="Arial"/>
        </w:rPr>
        <w:t xml:space="preserve">, the milligrams of dust or vapor per cubic meter of air. </w:t>
      </w:r>
    </w:p>
    <w:p w:rsidR="0095541D" w:rsidRPr="003A71F6" w:rsidRDefault="0095541D"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p>
    <w:p w:rsidR="003A71F6" w:rsidRDefault="003A71F6" w:rsidP="0095541D">
      <w:pPr>
        <w:numPr>
          <w:ilvl w:val="12"/>
          <w:numId w:val="0"/>
        </w:numPr>
        <w:spacing w:after="0" w:line="240" w:lineRule="auto"/>
        <w:jc w:val="center"/>
        <w:rPr>
          <w:rFonts w:ascii="Arial" w:hAnsi="Arial" w:cs="Arial"/>
          <w:b/>
          <w:sz w:val="28"/>
        </w:rPr>
      </w:pPr>
      <w:r w:rsidRPr="0095541D">
        <w:rPr>
          <w:rFonts w:ascii="Arial" w:hAnsi="Arial" w:cs="Arial"/>
          <w:b/>
          <w:sz w:val="28"/>
        </w:rPr>
        <w:t xml:space="preserve">SECTION III </w:t>
      </w:r>
      <w:r w:rsidR="0095541D">
        <w:rPr>
          <w:rFonts w:ascii="Arial" w:hAnsi="Arial" w:cs="Arial"/>
          <w:b/>
          <w:sz w:val="28"/>
        </w:rPr>
        <w:t>–</w:t>
      </w:r>
      <w:r w:rsidRPr="0095541D">
        <w:rPr>
          <w:rFonts w:ascii="Arial" w:hAnsi="Arial" w:cs="Arial"/>
          <w:b/>
          <w:sz w:val="28"/>
        </w:rPr>
        <w:t xml:space="preserve"> PHYSICAL</w:t>
      </w:r>
      <w:r w:rsidR="0095541D">
        <w:rPr>
          <w:rFonts w:ascii="Arial" w:hAnsi="Arial" w:cs="Arial"/>
          <w:b/>
          <w:sz w:val="28"/>
        </w:rPr>
        <w:t>/</w:t>
      </w:r>
      <w:r w:rsidR="0095541D" w:rsidRPr="0095541D">
        <w:rPr>
          <w:rFonts w:ascii="Arial" w:hAnsi="Arial" w:cs="Arial"/>
          <w:b/>
          <w:sz w:val="28"/>
        </w:rPr>
        <w:t>C</w:t>
      </w:r>
      <w:r w:rsidR="0095541D">
        <w:rPr>
          <w:rFonts w:ascii="Arial" w:hAnsi="Arial" w:cs="Arial"/>
          <w:b/>
          <w:sz w:val="28"/>
        </w:rPr>
        <w:t>HEMICAL CHARACTERISTICS</w:t>
      </w:r>
    </w:p>
    <w:p w:rsidR="003A71F6" w:rsidRDefault="003A71F6" w:rsidP="0095541D">
      <w:pPr>
        <w:pStyle w:val="ListParagraph"/>
        <w:numPr>
          <w:ilvl w:val="0"/>
          <w:numId w:val="4"/>
        </w:numPr>
        <w:spacing w:after="120" w:line="240" w:lineRule="auto"/>
        <w:ind w:right="-86"/>
        <w:rPr>
          <w:rFonts w:ascii="Arial" w:hAnsi="Arial" w:cs="Arial"/>
        </w:rPr>
      </w:pPr>
      <w:r w:rsidRPr="0095541D">
        <w:rPr>
          <w:rFonts w:ascii="Arial" w:hAnsi="Arial" w:cs="Arial"/>
          <w:b/>
        </w:rPr>
        <w:t>Vapor Pressure:</w:t>
      </w:r>
      <w:r w:rsidRPr="0095541D">
        <w:rPr>
          <w:rFonts w:ascii="Arial" w:hAnsi="Arial" w:cs="Arial"/>
        </w:rPr>
        <w:t xml:space="preserve"> Vapor pressure (VP) </w:t>
      </w:r>
      <w:r w:rsidR="0095541D">
        <w:rPr>
          <w:rFonts w:ascii="Arial" w:hAnsi="Arial" w:cs="Arial"/>
        </w:rPr>
        <w:t>is</w:t>
      </w:r>
      <w:r w:rsidRPr="0095541D">
        <w:rPr>
          <w:rFonts w:ascii="Arial" w:hAnsi="Arial" w:cs="Arial"/>
        </w:rPr>
        <w:t xml:space="preserve"> used as a measure o</w:t>
      </w:r>
      <w:r w:rsidR="0095541D">
        <w:rPr>
          <w:rFonts w:ascii="Arial" w:hAnsi="Arial" w:cs="Arial"/>
        </w:rPr>
        <w:t xml:space="preserve">f how volatile a substance is. </w:t>
      </w:r>
      <w:r w:rsidRPr="0095541D">
        <w:rPr>
          <w:rFonts w:ascii="Arial" w:hAnsi="Arial" w:cs="Arial"/>
        </w:rPr>
        <w:t xml:space="preserve">That </w:t>
      </w:r>
      <w:r w:rsidR="0095541D">
        <w:rPr>
          <w:rFonts w:ascii="Arial" w:hAnsi="Arial" w:cs="Arial"/>
        </w:rPr>
        <w:t xml:space="preserve">is, how quickly it evaporates. </w:t>
      </w:r>
      <w:r w:rsidRPr="0095541D">
        <w:rPr>
          <w:rFonts w:ascii="Arial" w:hAnsi="Arial" w:cs="Arial"/>
        </w:rPr>
        <w:t>VP is measured in units of millimeters of mercury (mm Hg).  For comparison, the VP of water (at 20</w:t>
      </w:r>
      <w:r w:rsidRPr="0095541D">
        <w:rPr>
          <w:rFonts w:ascii="Arial" w:hAnsi="Arial" w:cs="Arial"/>
          <w:vertAlign w:val="superscript"/>
        </w:rPr>
        <w:t>o</w:t>
      </w:r>
      <w:r w:rsidR="0095541D">
        <w:rPr>
          <w:rFonts w:ascii="Arial" w:hAnsi="Arial" w:cs="Arial"/>
        </w:rPr>
        <w:t xml:space="preserve"> Centigrade) is 17.5 mm Hg.</w:t>
      </w:r>
      <w:r w:rsidRPr="0095541D">
        <w:rPr>
          <w:rFonts w:ascii="Arial" w:hAnsi="Arial" w:cs="Arial"/>
        </w:rPr>
        <w:t xml:space="preserve"> The VP of Vaseline (a nonvolatile substance) would be close to zero mm Hg, while the VP of diethyl ether (a very volatile substance) is 440 mm Hg.</w:t>
      </w:r>
    </w:p>
    <w:p w:rsidR="0095541D" w:rsidRPr="0095541D" w:rsidRDefault="0095541D" w:rsidP="0095541D">
      <w:pPr>
        <w:pStyle w:val="ListParagraph"/>
        <w:spacing w:after="120" w:line="240" w:lineRule="auto"/>
        <w:ind w:right="-86"/>
        <w:rPr>
          <w:rFonts w:ascii="Arial" w:hAnsi="Arial" w:cs="Arial"/>
        </w:rPr>
      </w:pPr>
    </w:p>
    <w:p w:rsidR="003A71F6" w:rsidRDefault="003A71F6" w:rsidP="0095541D">
      <w:pPr>
        <w:pStyle w:val="ListParagraph"/>
        <w:numPr>
          <w:ilvl w:val="0"/>
          <w:numId w:val="4"/>
        </w:numPr>
        <w:spacing w:after="0" w:line="240" w:lineRule="auto"/>
        <w:rPr>
          <w:rFonts w:ascii="Arial" w:hAnsi="Arial" w:cs="Arial"/>
        </w:rPr>
      </w:pPr>
      <w:r w:rsidRPr="0095541D">
        <w:rPr>
          <w:rFonts w:ascii="Arial" w:hAnsi="Arial" w:cs="Arial"/>
          <w:b/>
        </w:rPr>
        <w:t>Vapor Density:</w:t>
      </w:r>
      <w:r w:rsidRPr="0095541D">
        <w:rPr>
          <w:rFonts w:ascii="Arial" w:hAnsi="Arial" w:cs="Arial"/>
        </w:rPr>
        <w:t xml:space="preserve"> This figure </w:t>
      </w:r>
      <w:r w:rsidR="0095541D" w:rsidRPr="0095541D">
        <w:rPr>
          <w:rFonts w:ascii="Arial" w:hAnsi="Arial" w:cs="Arial"/>
        </w:rPr>
        <w:t>expresses</w:t>
      </w:r>
      <w:r w:rsidRPr="0095541D">
        <w:rPr>
          <w:rFonts w:ascii="Arial" w:hAnsi="Arial" w:cs="Arial"/>
        </w:rPr>
        <w:t xml:space="preserve"> whether the vapor is lighter or heavier than air. The density of air is 1.0.  A density greater than 1.0 indicates a heavier </w:t>
      </w:r>
      <w:r w:rsidR="0095541D" w:rsidRPr="0095541D">
        <w:rPr>
          <w:rFonts w:ascii="Arial" w:hAnsi="Arial" w:cs="Arial"/>
        </w:rPr>
        <w:t>vapor;</w:t>
      </w:r>
      <w:r w:rsidRPr="0095541D">
        <w:rPr>
          <w:rFonts w:ascii="Arial" w:hAnsi="Arial" w:cs="Arial"/>
        </w:rPr>
        <w:t xml:space="preserve"> a density less than 1.0 indicates a lighter vapor. Vapors heavier than air (gasoline vapor for instance) can flow just above the ground and can collect in depressions where they may pose a fire </w:t>
      </w:r>
      <w:r w:rsidR="0095541D">
        <w:rPr>
          <w:rFonts w:ascii="Arial" w:hAnsi="Arial" w:cs="Arial"/>
        </w:rPr>
        <w:t>or</w:t>
      </w:r>
      <w:r w:rsidRPr="0095541D">
        <w:rPr>
          <w:rFonts w:ascii="Arial" w:hAnsi="Arial" w:cs="Arial"/>
        </w:rPr>
        <w:t xml:space="preserve"> explosion hazard.</w:t>
      </w:r>
    </w:p>
    <w:p w:rsidR="0095541D" w:rsidRPr="0095541D" w:rsidRDefault="0095541D" w:rsidP="0095541D">
      <w:pPr>
        <w:spacing w:after="0" w:line="240" w:lineRule="auto"/>
        <w:rPr>
          <w:rFonts w:ascii="Arial" w:hAnsi="Arial" w:cs="Arial"/>
        </w:rPr>
      </w:pPr>
    </w:p>
    <w:p w:rsidR="003A71F6" w:rsidRDefault="003A71F6" w:rsidP="0095541D">
      <w:pPr>
        <w:pStyle w:val="ListParagraph"/>
        <w:numPr>
          <w:ilvl w:val="0"/>
          <w:numId w:val="4"/>
        </w:numPr>
        <w:spacing w:after="0" w:line="240" w:lineRule="auto"/>
        <w:rPr>
          <w:rFonts w:ascii="Arial" w:hAnsi="Arial" w:cs="Arial"/>
        </w:rPr>
      </w:pPr>
      <w:r w:rsidRPr="0095541D">
        <w:rPr>
          <w:rFonts w:ascii="Arial" w:hAnsi="Arial" w:cs="Arial"/>
          <w:b/>
        </w:rPr>
        <w:t>Specific Gravity:</w:t>
      </w:r>
      <w:r w:rsidRPr="0095541D">
        <w:rPr>
          <w:rFonts w:ascii="Arial" w:hAnsi="Arial" w:cs="Arial"/>
        </w:rPr>
        <w:t xml:space="preserve"> This figure </w:t>
      </w:r>
      <w:r w:rsidR="0095541D" w:rsidRPr="0095541D">
        <w:rPr>
          <w:rFonts w:ascii="Arial" w:hAnsi="Arial" w:cs="Arial"/>
        </w:rPr>
        <w:t>states</w:t>
      </w:r>
      <w:r w:rsidRPr="0095541D">
        <w:rPr>
          <w:rFonts w:ascii="Arial" w:hAnsi="Arial" w:cs="Arial"/>
        </w:rPr>
        <w:t xml:space="preserve"> whether the liquid is lighter or h</w:t>
      </w:r>
      <w:r w:rsidR="0095541D">
        <w:rPr>
          <w:rFonts w:ascii="Arial" w:hAnsi="Arial" w:cs="Arial"/>
        </w:rPr>
        <w:t xml:space="preserve">eavier than water. </w:t>
      </w:r>
      <w:r w:rsidRPr="0095541D">
        <w:rPr>
          <w:rFonts w:ascii="Arial" w:hAnsi="Arial" w:cs="Arial"/>
        </w:rPr>
        <w:t xml:space="preserve">Water has a density of 1.0. </w:t>
      </w:r>
      <w:r w:rsidR="0095541D">
        <w:rPr>
          <w:rFonts w:ascii="Arial" w:hAnsi="Arial" w:cs="Arial"/>
        </w:rPr>
        <w:t xml:space="preserve"> </w:t>
      </w:r>
    </w:p>
    <w:p w:rsidR="0095541D" w:rsidRPr="0095541D" w:rsidRDefault="0095541D" w:rsidP="0095541D">
      <w:pPr>
        <w:pStyle w:val="ListParagraph"/>
        <w:rPr>
          <w:rFonts w:ascii="Arial" w:hAnsi="Arial" w:cs="Arial"/>
        </w:rPr>
      </w:pPr>
    </w:p>
    <w:p w:rsidR="003A71F6" w:rsidRDefault="003A71F6" w:rsidP="0095541D">
      <w:pPr>
        <w:pStyle w:val="ListParagraph"/>
        <w:numPr>
          <w:ilvl w:val="0"/>
          <w:numId w:val="4"/>
        </w:numPr>
        <w:spacing w:after="0" w:line="240" w:lineRule="auto"/>
        <w:rPr>
          <w:rFonts w:ascii="Arial" w:hAnsi="Arial" w:cs="Arial"/>
        </w:rPr>
      </w:pPr>
      <w:r w:rsidRPr="0095541D">
        <w:rPr>
          <w:rFonts w:ascii="Arial" w:hAnsi="Arial" w:cs="Arial"/>
          <w:b/>
        </w:rPr>
        <w:t>Percent Volatile by Volume:</w:t>
      </w:r>
      <w:r w:rsidRPr="0095541D">
        <w:rPr>
          <w:rFonts w:ascii="Arial" w:hAnsi="Arial" w:cs="Arial"/>
        </w:rPr>
        <w:t xml:space="preserve"> </w:t>
      </w:r>
      <w:r w:rsidR="0095541D" w:rsidRPr="0095541D">
        <w:rPr>
          <w:rFonts w:ascii="Arial" w:hAnsi="Arial" w:cs="Arial"/>
        </w:rPr>
        <w:t>States</w:t>
      </w:r>
      <w:r w:rsidRPr="0095541D">
        <w:rPr>
          <w:rFonts w:ascii="Arial" w:hAnsi="Arial" w:cs="Arial"/>
        </w:rPr>
        <w:t xml:space="preserve"> how much of the substance will evaporate away.</w:t>
      </w:r>
    </w:p>
    <w:p w:rsidR="0095541D" w:rsidRPr="0095541D" w:rsidRDefault="0095541D" w:rsidP="0095541D">
      <w:p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p>
    <w:p w:rsidR="003A71F6" w:rsidRDefault="003A71F6" w:rsidP="0095541D">
      <w:pPr>
        <w:numPr>
          <w:ilvl w:val="12"/>
          <w:numId w:val="0"/>
        </w:numPr>
        <w:spacing w:after="0" w:line="240" w:lineRule="auto"/>
        <w:jc w:val="center"/>
        <w:rPr>
          <w:rFonts w:ascii="Arial" w:hAnsi="Arial" w:cs="Arial"/>
          <w:b/>
          <w:sz w:val="28"/>
        </w:rPr>
      </w:pPr>
      <w:r w:rsidRPr="0095541D">
        <w:rPr>
          <w:rFonts w:ascii="Arial" w:hAnsi="Arial" w:cs="Arial"/>
          <w:b/>
          <w:sz w:val="28"/>
        </w:rPr>
        <w:t xml:space="preserve">SECTION IV - FIRE AND EXPLOSION HAZARD DATA </w:t>
      </w:r>
    </w:p>
    <w:p w:rsidR="003A71F6" w:rsidRDefault="003A71F6" w:rsidP="003A71F6">
      <w:pPr>
        <w:numPr>
          <w:ilvl w:val="12"/>
          <w:numId w:val="0"/>
        </w:numPr>
        <w:spacing w:after="0" w:line="240" w:lineRule="auto"/>
        <w:rPr>
          <w:rFonts w:ascii="Arial" w:hAnsi="Arial" w:cs="Arial"/>
        </w:rPr>
      </w:pPr>
      <w:r w:rsidRPr="003A71F6">
        <w:rPr>
          <w:rFonts w:ascii="Arial" w:hAnsi="Arial" w:cs="Arial"/>
        </w:rPr>
        <w:t xml:space="preserve">This section </w:t>
      </w:r>
      <w:r w:rsidR="0095541D" w:rsidRPr="003A71F6">
        <w:rPr>
          <w:rFonts w:ascii="Arial" w:hAnsi="Arial" w:cs="Arial"/>
        </w:rPr>
        <w:t>provides</w:t>
      </w:r>
      <w:r w:rsidRPr="003A71F6">
        <w:rPr>
          <w:rFonts w:ascii="Arial" w:hAnsi="Arial" w:cs="Arial"/>
        </w:rPr>
        <w:t xml:space="preserve"> </w:t>
      </w:r>
      <w:r w:rsidR="0095541D">
        <w:rPr>
          <w:rFonts w:ascii="Arial" w:hAnsi="Arial" w:cs="Arial"/>
        </w:rPr>
        <w:t xml:space="preserve">important </w:t>
      </w:r>
      <w:r w:rsidRPr="003A71F6">
        <w:rPr>
          <w:rFonts w:ascii="Arial" w:hAnsi="Arial" w:cs="Arial"/>
        </w:rPr>
        <w:t>information</w:t>
      </w:r>
      <w:r w:rsidR="0095541D">
        <w:rPr>
          <w:rFonts w:ascii="Arial" w:hAnsi="Arial" w:cs="Arial"/>
        </w:rPr>
        <w:t xml:space="preserve"> used </w:t>
      </w:r>
      <w:r w:rsidRPr="003A71F6">
        <w:rPr>
          <w:rFonts w:ascii="Arial" w:hAnsi="Arial" w:cs="Arial"/>
        </w:rPr>
        <w:t>for preventing and extinguishing fires and explosions. If a fire does occur, this information should be made available to fire fighters.</w:t>
      </w:r>
    </w:p>
    <w:p w:rsidR="0095541D" w:rsidRPr="003A71F6" w:rsidRDefault="0095541D" w:rsidP="003A71F6">
      <w:pPr>
        <w:numPr>
          <w:ilvl w:val="12"/>
          <w:numId w:val="0"/>
        </w:numPr>
        <w:spacing w:after="0" w:line="240" w:lineRule="auto"/>
        <w:rPr>
          <w:rFonts w:ascii="Arial" w:hAnsi="Arial" w:cs="Arial"/>
        </w:rPr>
      </w:pPr>
    </w:p>
    <w:p w:rsidR="003A71F6" w:rsidRDefault="003A71F6" w:rsidP="0095541D">
      <w:pPr>
        <w:pStyle w:val="ListParagraph"/>
        <w:numPr>
          <w:ilvl w:val="0"/>
          <w:numId w:val="5"/>
        </w:numPr>
        <w:spacing w:after="0" w:line="240" w:lineRule="auto"/>
        <w:rPr>
          <w:rFonts w:ascii="Arial" w:hAnsi="Arial" w:cs="Arial"/>
        </w:rPr>
      </w:pPr>
      <w:r w:rsidRPr="0095541D">
        <w:rPr>
          <w:rFonts w:ascii="Arial" w:hAnsi="Arial" w:cs="Arial"/>
          <w:b/>
        </w:rPr>
        <w:t>Flash Point:</w:t>
      </w:r>
      <w:r w:rsidRPr="0095541D">
        <w:rPr>
          <w:rFonts w:ascii="Arial" w:hAnsi="Arial" w:cs="Arial"/>
        </w:rPr>
        <w:t xml:space="preserve"> This is the lowest temperature at which a liquid gives off enough vapor to ignite when a </w:t>
      </w:r>
      <w:r w:rsidR="0095541D">
        <w:rPr>
          <w:rFonts w:ascii="Arial" w:hAnsi="Arial" w:cs="Arial"/>
        </w:rPr>
        <w:t xml:space="preserve">source of ignition is present. </w:t>
      </w:r>
      <w:r w:rsidRPr="0095541D">
        <w:rPr>
          <w:rFonts w:ascii="Arial" w:hAnsi="Arial" w:cs="Arial"/>
        </w:rPr>
        <w:t xml:space="preserve">At or above this temperature, a fire or explosion hazard may exist if the substance is used in the presence of </w:t>
      </w:r>
      <w:r w:rsidR="0095541D">
        <w:rPr>
          <w:rFonts w:ascii="Arial" w:hAnsi="Arial" w:cs="Arial"/>
        </w:rPr>
        <w:t xml:space="preserve">a </w:t>
      </w:r>
      <w:r w:rsidRPr="0095541D">
        <w:rPr>
          <w:rFonts w:ascii="Arial" w:hAnsi="Arial" w:cs="Arial"/>
        </w:rPr>
        <w:t>spark or flame.</w:t>
      </w:r>
    </w:p>
    <w:p w:rsidR="0095541D" w:rsidRPr="0095541D" w:rsidRDefault="0095541D" w:rsidP="0095541D">
      <w:pPr>
        <w:pStyle w:val="ListParagraph"/>
        <w:spacing w:after="0" w:line="240" w:lineRule="auto"/>
        <w:rPr>
          <w:rFonts w:ascii="Arial" w:hAnsi="Arial" w:cs="Arial"/>
        </w:rPr>
      </w:pPr>
    </w:p>
    <w:p w:rsidR="003A71F6" w:rsidRDefault="003A71F6" w:rsidP="0095541D">
      <w:pPr>
        <w:pStyle w:val="ListParagraph"/>
        <w:numPr>
          <w:ilvl w:val="0"/>
          <w:numId w:val="5"/>
        </w:numPr>
        <w:spacing w:after="0" w:line="240" w:lineRule="auto"/>
        <w:rPr>
          <w:rFonts w:ascii="Arial" w:hAnsi="Arial" w:cs="Arial"/>
        </w:rPr>
      </w:pPr>
      <w:r w:rsidRPr="0095541D">
        <w:rPr>
          <w:rFonts w:ascii="Arial" w:hAnsi="Arial" w:cs="Arial"/>
          <w:b/>
        </w:rPr>
        <w:t>Flammable Limits:</w:t>
      </w:r>
      <w:r w:rsidRPr="0095541D">
        <w:rPr>
          <w:rFonts w:ascii="Arial" w:hAnsi="Arial" w:cs="Arial"/>
        </w:rPr>
        <w:t xml:space="preserve"> </w:t>
      </w:r>
      <w:r w:rsidR="0095541D">
        <w:rPr>
          <w:rFonts w:ascii="Arial" w:hAnsi="Arial" w:cs="Arial"/>
        </w:rPr>
        <w:t>T</w:t>
      </w:r>
      <w:r w:rsidRPr="0095541D">
        <w:rPr>
          <w:rFonts w:ascii="Arial" w:hAnsi="Arial" w:cs="Arial"/>
        </w:rPr>
        <w:t>o be flammable, a substance must be mixed with a certain amount of air (as in an automobile carburetor).  A mixture that is too "lean" (not enough chemical) or too "rich" (not enough air) will not igni</w:t>
      </w:r>
      <w:r w:rsidR="0095541D">
        <w:rPr>
          <w:rFonts w:ascii="Arial" w:hAnsi="Arial" w:cs="Arial"/>
        </w:rPr>
        <w:t xml:space="preserve">te. </w:t>
      </w:r>
      <w:r w:rsidRPr="0095541D">
        <w:rPr>
          <w:rFonts w:ascii="Arial" w:hAnsi="Arial" w:cs="Arial"/>
        </w:rPr>
        <w:t>The Lower Explosive Limit (LEL) and the Upper Explosive Limit (UEL) define the range of concentration in which combustion can occur.</w:t>
      </w:r>
    </w:p>
    <w:p w:rsidR="00FA7BC8" w:rsidRDefault="00FA7BC8" w:rsidP="0095541D">
      <w:pPr>
        <w:numPr>
          <w:ilvl w:val="12"/>
          <w:numId w:val="0"/>
        </w:numPr>
        <w:spacing w:after="0" w:line="240" w:lineRule="auto"/>
        <w:jc w:val="center"/>
        <w:rPr>
          <w:rFonts w:ascii="Arial" w:hAnsi="Arial" w:cs="Arial"/>
          <w:b/>
          <w:sz w:val="28"/>
        </w:rPr>
      </w:pPr>
      <w:r w:rsidRPr="0095541D">
        <w:rPr>
          <w:rFonts w:ascii="Arial" w:hAnsi="Arial" w:cs="Arial"/>
          <w:b/>
          <w:sz w:val="28"/>
        </w:rPr>
        <w:t>SECTION V - REACTIVITY DATA</w:t>
      </w:r>
    </w:p>
    <w:p w:rsidR="00FA7BC8" w:rsidRPr="003A71F6" w:rsidRDefault="00FA7BC8" w:rsidP="00FA7BC8">
      <w:pPr>
        <w:numPr>
          <w:ilvl w:val="12"/>
          <w:numId w:val="0"/>
        </w:numPr>
        <w:spacing w:after="0" w:line="240" w:lineRule="auto"/>
        <w:rPr>
          <w:rFonts w:ascii="Arial" w:hAnsi="Arial" w:cs="Arial"/>
          <w:b/>
        </w:rPr>
      </w:pPr>
      <w:r w:rsidRPr="003A71F6">
        <w:rPr>
          <w:rFonts w:ascii="Arial" w:hAnsi="Arial" w:cs="Arial"/>
        </w:rPr>
        <w:t>Chemical substances may be hazardous not just in themselves, but may be hazardous when they decompose (break down into other substances) or when they react with other chemicals.</w:t>
      </w:r>
    </w:p>
    <w:p w:rsidR="0095541D" w:rsidRPr="0095541D" w:rsidRDefault="00FA7BC8" w:rsidP="0095541D">
      <w:pPr>
        <w:pStyle w:val="ListParagraph"/>
        <w:numPr>
          <w:ilvl w:val="0"/>
          <w:numId w:val="6"/>
        </w:numPr>
        <w:spacing w:after="120" w:line="240" w:lineRule="auto"/>
        <w:rPr>
          <w:rFonts w:ascii="Arial" w:hAnsi="Arial" w:cs="Arial"/>
        </w:rPr>
      </w:pPr>
      <w:r w:rsidRPr="0095541D">
        <w:rPr>
          <w:rFonts w:ascii="Arial" w:hAnsi="Arial" w:cs="Arial"/>
          <w:b/>
        </w:rPr>
        <w:t xml:space="preserve">Stability:  </w:t>
      </w:r>
    </w:p>
    <w:p w:rsidR="0095541D" w:rsidRDefault="00FA7BC8" w:rsidP="0095541D">
      <w:pPr>
        <w:pStyle w:val="ListParagraph"/>
        <w:numPr>
          <w:ilvl w:val="1"/>
          <w:numId w:val="6"/>
        </w:numPr>
        <w:spacing w:after="120" w:line="240" w:lineRule="auto"/>
        <w:rPr>
          <w:rFonts w:ascii="Arial" w:hAnsi="Arial" w:cs="Arial"/>
        </w:rPr>
      </w:pPr>
      <w:r w:rsidRPr="0095541D">
        <w:rPr>
          <w:rFonts w:ascii="Arial" w:hAnsi="Arial" w:cs="Arial"/>
          <w:b/>
        </w:rPr>
        <w:t>Unstable</w:t>
      </w:r>
      <w:r w:rsidRPr="0095541D">
        <w:rPr>
          <w:rFonts w:ascii="Arial" w:hAnsi="Arial" w:cs="Arial"/>
        </w:rPr>
        <w:t xml:space="preserve"> indicates that a chemical can decompose spontaneously under normal temperatures, pressures, </w:t>
      </w:r>
      <w:r w:rsidR="00DF2C94">
        <w:rPr>
          <w:rFonts w:ascii="Arial" w:hAnsi="Arial" w:cs="Arial"/>
        </w:rPr>
        <w:t>or</w:t>
      </w:r>
      <w:r w:rsidRPr="0095541D">
        <w:rPr>
          <w:rFonts w:ascii="Arial" w:hAnsi="Arial" w:cs="Arial"/>
        </w:rPr>
        <w:t xml:space="preserve"> mechanical shocks.  Rapid decomposition may be hazardous because it produces heat </w:t>
      </w:r>
      <w:r w:rsidR="00DF2C94">
        <w:rPr>
          <w:rFonts w:ascii="Arial" w:hAnsi="Arial" w:cs="Arial"/>
        </w:rPr>
        <w:t>or</w:t>
      </w:r>
      <w:r w:rsidRPr="0095541D">
        <w:rPr>
          <w:rFonts w:ascii="Arial" w:hAnsi="Arial" w:cs="Arial"/>
        </w:rPr>
        <w:t xml:space="preserve"> may cause </w:t>
      </w:r>
      <w:r w:rsidR="00DF2C94">
        <w:rPr>
          <w:rFonts w:ascii="Arial" w:hAnsi="Arial" w:cs="Arial"/>
        </w:rPr>
        <w:t xml:space="preserve">a </w:t>
      </w:r>
      <w:r w:rsidRPr="0095541D">
        <w:rPr>
          <w:rFonts w:ascii="Arial" w:hAnsi="Arial" w:cs="Arial"/>
        </w:rPr>
        <w:t xml:space="preserve">fire or </w:t>
      </w:r>
      <w:r w:rsidR="00DF2C94">
        <w:rPr>
          <w:rFonts w:ascii="Arial" w:hAnsi="Arial" w:cs="Arial"/>
        </w:rPr>
        <w:t xml:space="preserve">an </w:t>
      </w:r>
      <w:r w:rsidRPr="0095541D">
        <w:rPr>
          <w:rFonts w:ascii="Arial" w:hAnsi="Arial" w:cs="Arial"/>
        </w:rPr>
        <w:t xml:space="preserve">explosion.  </w:t>
      </w:r>
      <w:r w:rsidR="00DF2C94">
        <w:rPr>
          <w:rFonts w:ascii="Arial" w:hAnsi="Arial" w:cs="Arial"/>
        </w:rPr>
        <w:br/>
      </w:r>
    </w:p>
    <w:p w:rsidR="00FA7BC8" w:rsidRDefault="00FA7BC8" w:rsidP="0095541D">
      <w:pPr>
        <w:pStyle w:val="ListParagraph"/>
        <w:numPr>
          <w:ilvl w:val="1"/>
          <w:numId w:val="6"/>
        </w:numPr>
        <w:spacing w:after="120" w:line="240" w:lineRule="auto"/>
        <w:rPr>
          <w:rFonts w:ascii="Arial" w:hAnsi="Arial" w:cs="Arial"/>
        </w:rPr>
      </w:pPr>
      <w:r w:rsidRPr="0095541D">
        <w:rPr>
          <w:rFonts w:ascii="Arial" w:hAnsi="Arial" w:cs="Arial"/>
          <w:b/>
        </w:rPr>
        <w:t>Stable</w:t>
      </w:r>
      <w:r w:rsidRPr="0095541D">
        <w:rPr>
          <w:rFonts w:ascii="Arial" w:hAnsi="Arial" w:cs="Arial"/>
        </w:rPr>
        <w:t xml:space="preserve"> compounds do not decompose under normal conditions.</w:t>
      </w:r>
    </w:p>
    <w:p w:rsidR="0095541D" w:rsidRPr="0095541D" w:rsidRDefault="0095541D" w:rsidP="0095541D">
      <w:pPr>
        <w:pStyle w:val="ListParagraph"/>
        <w:spacing w:after="120" w:line="240" w:lineRule="auto"/>
        <w:ind w:left="1440"/>
        <w:rPr>
          <w:rFonts w:ascii="Arial" w:hAnsi="Arial" w:cs="Arial"/>
        </w:rPr>
      </w:pPr>
    </w:p>
    <w:p w:rsidR="00FA7BC8" w:rsidRDefault="00FA7BC8" w:rsidP="0095541D">
      <w:pPr>
        <w:pStyle w:val="ListParagraph"/>
        <w:numPr>
          <w:ilvl w:val="0"/>
          <w:numId w:val="6"/>
        </w:numPr>
        <w:spacing w:after="120" w:line="240" w:lineRule="auto"/>
        <w:ind w:right="-360"/>
        <w:rPr>
          <w:rFonts w:ascii="Arial" w:hAnsi="Arial" w:cs="Arial"/>
        </w:rPr>
      </w:pPr>
      <w:r w:rsidRPr="0095541D">
        <w:rPr>
          <w:rFonts w:ascii="Arial" w:hAnsi="Arial" w:cs="Arial"/>
          <w:b/>
        </w:rPr>
        <w:t>Incompatibility:</w:t>
      </w:r>
      <w:r w:rsidRPr="0095541D">
        <w:rPr>
          <w:rFonts w:ascii="Arial" w:hAnsi="Arial" w:cs="Arial"/>
        </w:rPr>
        <w:t xml:space="preserve"> Certain chemicals should never be mixed because the mixture creates hazardous conditions. Incompatible chemicals should not be stored together where an accident could cause them to mix.</w:t>
      </w:r>
      <w:r w:rsidR="0095541D">
        <w:rPr>
          <w:rFonts w:ascii="Arial" w:hAnsi="Arial" w:cs="Arial"/>
        </w:rPr>
        <w:t xml:space="preserve"> </w:t>
      </w:r>
      <w:r w:rsidR="00DF2C94">
        <w:rPr>
          <w:rFonts w:ascii="Arial" w:hAnsi="Arial" w:cs="Arial"/>
        </w:rPr>
        <w:br/>
      </w:r>
    </w:p>
    <w:p w:rsidR="00FA7BC8" w:rsidRPr="0095541D" w:rsidRDefault="00FA7BC8" w:rsidP="0095541D">
      <w:pPr>
        <w:pStyle w:val="ListParagraph"/>
        <w:numPr>
          <w:ilvl w:val="0"/>
          <w:numId w:val="6"/>
        </w:numPr>
        <w:spacing w:after="120" w:line="240" w:lineRule="auto"/>
        <w:rPr>
          <w:rFonts w:ascii="Arial" w:hAnsi="Arial" w:cs="Arial"/>
        </w:rPr>
      </w:pPr>
      <w:r w:rsidRPr="0095541D">
        <w:rPr>
          <w:rFonts w:ascii="Arial" w:hAnsi="Arial" w:cs="Arial"/>
          <w:b/>
        </w:rPr>
        <w:t>Hazardous Decomposition Products:</w:t>
      </w:r>
      <w:r w:rsidRPr="0095541D">
        <w:rPr>
          <w:rFonts w:ascii="Arial" w:hAnsi="Arial" w:cs="Arial"/>
        </w:rPr>
        <w:t xml:space="preserve"> Other chemical substances may be created when a chemical burns or decomposes.</w:t>
      </w:r>
      <w:r w:rsidR="00DF2C94">
        <w:rPr>
          <w:rFonts w:ascii="Arial" w:hAnsi="Arial" w:cs="Arial"/>
        </w:rPr>
        <w:br/>
      </w:r>
    </w:p>
    <w:p w:rsidR="00FA7BC8" w:rsidRDefault="00FA7BC8" w:rsidP="0095541D">
      <w:pPr>
        <w:pStyle w:val="ListParagraph"/>
        <w:numPr>
          <w:ilvl w:val="0"/>
          <w:numId w:val="6"/>
        </w:numPr>
        <w:spacing w:after="120" w:line="240" w:lineRule="auto"/>
        <w:rPr>
          <w:rFonts w:ascii="Arial" w:hAnsi="Arial" w:cs="Arial"/>
        </w:rPr>
      </w:pPr>
      <w:r w:rsidRPr="0095541D">
        <w:rPr>
          <w:rFonts w:ascii="Arial" w:hAnsi="Arial" w:cs="Arial"/>
          <w:b/>
        </w:rPr>
        <w:t>Hazardous Polymerization:</w:t>
      </w:r>
      <w:r w:rsidRPr="0095541D">
        <w:rPr>
          <w:rFonts w:ascii="Arial" w:hAnsi="Arial" w:cs="Arial"/>
        </w:rPr>
        <w:t xml:space="preserve"> Some chemicals can undergo a type of chemical reaction (rapid polymerization) which may produce enough heat t</w:t>
      </w:r>
      <w:r w:rsidR="00DF2C94">
        <w:rPr>
          <w:rFonts w:ascii="Arial" w:hAnsi="Arial" w:cs="Arial"/>
        </w:rPr>
        <w:t xml:space="preserve">o cause containers to explode. </w:t>
      </w:r>
      <w:r w:rsidRPr="0095541D">
        <w:rPr>
          <w:rFonts w:ascii="Arial" w:hAnsi="Arial" w:cs="Arial"/>
        </w:rPr>
        <w:t>Conditions to avoid are listed in this section.</w:t>
      </w:r>
    </w:p>
    <w:p w:rsidR="004211AE" w:rsidRDefault="004211AE" w:rsidP="004211AE">
      <w:pPr>
        <w:pStyle w:val="ListParagraph"/>
        <w:spacing w:after="120" w:line="240" w:lineRule="auto"/>
        <w:ind w:left="360"/>
        <w:rPr>
          <w:rFonts w:ascii="Arial" w:hAnsi="Arial" w:cs="Arial"/>
        </w:rPr>
      </w:pPr>
      <w:r>
        <w:rPr>
          <w:rFonts w:ascii="Arial" w:hAnsi="Arial" w:cs="Arial"/>
        </w:rPr>
        <w:br/>
      </w:r>
    </w:p>
    <w:p w:rsidR="004211AE" w:rsidRPr="004211AE" w:rsidRDefault="00DF2C94" w:rsidP="004211AE">
      <w:pPr>
        <w:pStyle w:val="ListParagraph"/>
        <w:numPr>
          <w:ilvl w:val="12"/>
          <w:numId w:val="6"/>
        </w:numPr>
        <w:spacing w:after="0" w:line="240" w:lineRule="auto"/>
        <w:ind w:left="0"/>
        <w:jc w:val="center"/>
        <w:rPr>
          <w:rFonts w:ascii="Arial" w:hAnsi="Arial" w:cs="Arial"/>
        </w:rPr>
      </w:pPr>
      <w:r w:rsidRPr="004211AE">
        <w:rPr>
          <w:rFonts w:ascii="Arial" w:hAnsi="Arial" w:cs="Arial"/>
          <w:b/>
          <w:sz w:val="28"/>
        </w:rPr>
        <w:t>SECTION V</w:t>
      </w:r>
      <w:r w:rsidR="004211AE" w:rsidRPr="004211AE">
        <w:rPr>
          <w:rFonts w:ascii="Arial" w:hAnsi="Arial" w:cs="Arial"/>
          <w:b/>
          <w:sz w:val="28"/>
        </w:rPr>
        <w:t>I</w:t>
      </w:r>
      <w:r w:rsidRPr="004211AE">
        <w:rPr>
          <w:rFonts w:ascii="Arial" w:hAnsi="Arial" w:cs="Arial"/>
          <w:b/>
          <w:sz w:val="28"/>
        </w:rPr>
        <w:t xml:space="preserve"> </w:t>
      </w:r>
      <w:r w:rsidR="004211AE" w:rsidRPr="004211AE">
        <w:rPr>
          <w:rFonts w:ascii="Arial" w:hAnsi="Arial" w:cs="Arial"/>
          <w:b/>
          <w:sz w:val="28"/>
        </w:rPr>
        <w:t>–</w:t>
      </w:r>
      <w:r w:rsidRPr="004211AE">
        <w:rPr>
          <w:rFonts w:ascii="Arial" w:hAnsi="Arial" w:cs="Arial"/>
          <w:b/>
          <w:sz w:val="28"/>
        </w:rPr>
        <w:t xml:space="preserve"> </w:t>
      </w:r>
      <w:r w:rsidR="004211AE" w:rsidRPr="004211AE">
        <w:rPr>
          <w:rFonts w:ascii="Arial" w:hAnsi="Arial" w:cs="Arial"/>
          <w:b/>
          <w:sz w:val="28"/>
        </w:rPr>
        <w:t xml:space="preserve">HEALTH HAZARD </w:t>
      </w:r>
      <w:r w:rsidRPr="004211AE">
        <w:rPr>
          <w:rFonts w:ascii="Arial" w:hAnsi="Arial" w:cs="Arial"/>
          <w:b/>
          <w:sz w:val="28"/>
        </w:rPr>
        <w:t>DATA</w:t>
      </w:r>
    </w:p>
    <w:p w:rsidR="00DF2C94" w:rsidRPr="004211AE" w:rsidRDefault="00DF2C94" w:rsidP="004211AE">
      <w:pPr>
        <w:pStyle w:val="ListParagraph"/>
        <w:spacing w:after="0" w:line="240" w:lineRule="auto"/>
        <w:ind w:left="0"/>
        <w:rPr>
          <w:rFonts w:ascii="Arial" w:hAnsi="Arial" w:cs="Arial"/>
        </w:rPr>
      </w:pPr>
      <w:r w:rsidRPr="004211AE">
        <w:rPr>
          <w:rFonts w:ascii="Arial" w:hAnsi="Arial" w:cs="Arial"/>
        </w:rPr>
        <w:t xml:space="preserve">This section describes the potential health effects resulting from overexposure to the chemical, and </w:t>
      </w:r>
      <w:r w:rsidR="004211AE" w:rsidRPr="004211AE">
        <w:rPr>
          <w:rFonts w:ascii="Arial" w:hAnsi="Arial" w:cs="Arial"/>
        </w:rPr>
        <w:t>outlines</w:t>
      </w:r>
      <w:r w:rsidRPr="004211AE">
        <w:rPr>
          <w:rFonts w:ascii="Arial" w:hAnsi="Arial" w:cs="Arial"/>
        </w:rPr>
        <w:t xml:space="preserve"> emergency and first aid procedures. The symptoms and effects listed are the effects of exposure at hazardous levels: most chemicals are safe in normal use and the vast majority of workers never suffer toxic harm.  </w:t>
      </w:r>
      <w:r w:rsidR="004211AE" w:rsidRPr="004211AE">
        <w:rPr>
          <w:rFonts w:ascii="Arial" w:hAnsi="Arial" w:cs="Arial"/>
        </w:rPr>
        <w:t xml:space="preserve">It is important to remember that </w:t>
      </w:r>
      <w:r w:rsidRPr="004211AE">
        <w:rPr>
          <w:rFonts w:ascii="Arial" w:hAnsi="Arial" w:cs="Arial"/>
        </w:rPr>
        <w:t>any chemical can be toxic in high concentrations, and the precautions outlined in the MSDS must be followed.</w:t>
      </w:r>
    </w:p>
    <w:p w:rsidR="004211AE" w:rsidRPr="004211AE" w:rsidRDefault="004211AE" w:rsidP="004211AE">
      <w:pPr>
        <w:spacing w:after="0" w:line="240" w:lineRule="auto"/>
        <w:rPr>
          <w:rFonts w:ascii="Arial" w:hAnsi="Arial" w:cs="Arial"/>
        </w:rPr>
      </w:pPr>
    </w:p>
    <w:p w:rsidR="00DF2C94" w:rsidRDefault="00DF2C94" w:rsidP="004211AE">
      <w:pPr>
        <w:spacing w:after="0" w:line="240" w:lineRule="auto"/>
        <w:rPr>
          <w:rFonts w:ascii="Arial" w:hAnsi="Arial" w:cs="Arial"/>
        </w:rPr>
      </w:pPr>
      <w:r w:rsidRPr="004211AE">
        <w:rPr>
          <w:rFonts w:ascii="Arial" w:hAnsi="Arial" w:cs="Arial"/>
        </w:rPr>
        <w:t xml:space="preserve">The Health Hazards section </w:t>
      </w:r>
      <w:r w:rsidR="004211AE">
        <w:rPr>
          <w:rFonts w:ascii="Arial" w:hAnsi="Arial" w:cs="Arial"/>
        </w:rPr>
        <w:t>also</w:t>
      </w:r>
      <w:r w:rsidRPr="004211AE">
        <w:rPr>
          <w:rFonts w:ascii="Arial" w:hAnsi="Arial" w:cs="Arial"/>
        </w:rPr>
        <w:t xml:space="preserve"> contains</w:t>
      </w:r>
      <w:r w:rsidR="004211AE">
        <w:rPr>
          <w:rFonts w:ascii="Arial" w:hAnsi="Arial" w:cs="Arial"/>
        </w:rPr>
        <w:t xml:space="preserve"> any</w:t>
      </w:r>
      <w:r w:rsidRPr="004211AE">
        <w:rPr>
          <w:rFonts w:ascii="Arial" w:hAnsi="Arial" w:cs="Arial"/>
        </w:rPr>
        <w:t xml:space="preserve"> information on the toxicity of the substance</w:t>
      </w:r>
      <w:r w:rsidR="004211AE">
        <w:rPr>
          <w:rFonts w:ascii="Arial" w:hAnsi="Arial" w:cs="Arial"/>
        </w:rPr>
        <w:t xml:space="preserve"> not previously mentioned</w:t>
      </w:r>
      <w:r w:rsidRPr="004211AE">
        <w:rPr>
          <w:rFonts w:ascii="Arial" w:hAnsi="Arial" w:cs="Arial"/>
        </w:rPr>
        <w:t xml:space="preserve">. The data </w:t>
      </w:r>
      <w:r w:rsidR="004211AE">
        <w:rPr>
          <w:rFonts w:ascii="Arial" w:hAnsi="Arial" w:cs="Arial"/>
        </w:rPr>
        <w:t>is usually</w:t>
      </w:r>
      <w:r w:rsidRPr="004211AE">
        <w:rPr>
          <w:rFonts w:ascii="Arial" w:hAnsi="Arial" w:cs="Arial"/>
        </w:rPr>
        <w:t xml:space="preserve"> presented are the results of animal experiments.  For example, "LD50 (mouse) = 250 mg/kg." The usual measure of toxicity is dose level expressed as weight of chemical per unit body weight of the animal-usually milligrams of chemical per kilogram of body weight (mg/kg).  The LD50 or "Lethal Dose Fifty," is the dose of substance that will cause the death of half the experimental animals.  The LC50 is the concentration of the substance in air that will cause the death of half the experimental animals.</w:t>
      </w:r>
      <w:r w:rsidR="004211AE">
        <w:rPr>
          <w:rFonts w:ascii="Arial" w:hAnsi="Arial" w:cs="Arial"/>
        </w:rPr>
        <w:t xml:space="preserve"> </w:t>
      </w:r>
      <w:r w:rsidRPr="004211AE">
        <w:rPr>
          <w:rFonts w:ascii="Arial" w:hAnsi="Arial" w:cs="Arial"/>
        </w:rPr>
        <w:t>A rough and somewhat arbitrary classification: when evaluating rodent LD50's, materials with an oral LD50 less than 50 mg/kg are considered highly toxic, and those with an oral LD50 of 50-500 mg/kg are considered moderately toxic.</w:t>
      </w:r>
    </w:p>
    <w:p w:rsidR="004211AE" w:rsidRPr="004211AE" w:rsidRDefault="004211AE" w:rsidP="004211AE">
      <w:pPr>
        <w:spacing w:after="0" w:line="240" w:lineRule="auto"/>
        <w:rPr>
          <w:rFonts w:ascii="Arial" w:hAnsi="Arial" w:cs="Arial"/>
        </w:rPr>
      </w:pPr>
    </w:p>
    <w:p w:rsidR="004211AE" w:rsidRDefault="00DF2C94" w:rsidP="004211AE">
      <w:pPr>
        <w:spacing w:after="0" w:line="240" w:lineRule="auto"/>
        <w:rPr>
          <w:rFonts w:ascii="Arial" w:hAnsi="Arial" w:cs="Arial"/>
        </w:rPr>
      </w:pPr>
      <w:r w:rsidRPr="004211AE">
        <w:rPr>
          <w:rFonts w:ascii="Arial" w:hAnsi="Arial" w:cs="Arial"/>
        </w:rPr>
        <w:t xml:space="preserve">Health hazard information may also distinguish the effects </w:t>
      </w:r>
      <w:r w:rsidR="004211AE">
        <w:rPr>
          <w:rFonts w:ascii="Arial" w:hAnsi="Arial" w:cs="Arial"/>
        </w:rPr>
        <w:t xml:space="preserve">of acute and chronic exposure. </w:t>
      </w:r>
    </w:p>
    <w:p w:rsidR="004211AE" w:rsidRDefault="004211AE" w:rsidP="004211AE">
      <w:pPr>
        <w:pStyle w:val="ListParagraph"/>
        <w:numPr>
          <w:ilvl w:val="0"/>
          <w:numId w:val="7"/>
        </w:numPr>
        <w:spacing w:after="0" w:line="240" w:lineRule="auto"/>
        <w:rPr>
          <w:rFonts w:ascii="Arial" w:hAnsi="Arial" w:cs="Arial"/>
        </w:rPr>
      </w:pPr>
      <w:r>
        <w:rPr>
          <w:rFonts w:ascii="Arial" w:hAnsi="Arial" w:cs="Arial"/>
          <w:b/>
        </w:rPr>
        <w:t>A</w:t>
      </w:r>
      <w:r w:rsidR="00DF2C94" w:rsidRPr="004211AE">
        <w:rPr>
          <w:rFonts w:ascii="Arial" w:hAnsi="Arial" w:cs="Arial"/>
          <w:b/>
        </w:rPr>
        <w:t>cute exposure</w:t>
      </w:r>
      <w:r>
        <w:rPr>
          <w:rFonts w:ascii="Arial" w:hAnsi="Arial" w:cs="Arial"/>
          <w:b/>
        </w:rPr>
        <w:t>:</w:t>
      </w:r>
      <w:r w:rsidR="00DF2C94" w:rsidRPr="004211AE">
        <w:rPr>
          <w:rFonts w:ascii="Arial" w:hAnsi="Arial" w:cs="Arial"/>
        </w:rPr>
        <w:t xml:space="preserve"> a single, massive exposure</w:t>
      </w:r>
      <w:r>
        <w:rPr>
          <w:rFonts w:ascii="Arial" w:hAnsi="Arial" w:cs="Arial"/>
        </w:rPr>
        <w:t>.</w:t>
      </w:r>
      <w:r>
        <w:rPr>
          <w:rFonts w:ascii="Arial" w:hAnsi="Arial" w:cs="Arial"/>
        </w:rPr>
        <w:br/>
      </w:r>
    </w:p>
    <w:p w:rsidR="00DF2C94" w:rsidRPr="004211AE" w:rsidRDefault="004211AE" w:rsidP="004211AE">
      <w:pPr>
        <w:pStyle w:val="ListParagraph"/>
        <w:numPr>
          <w:ilvl w:val="0"/>
          <w:numId w:val="7"/>
        </w:numPr>
        <w:spacing w:after="0" w:line="240" w:lineRule="auto"/>
        <w:rPr>
          <w:rFonts w:ascii="Arial" w:hAnsi="Arial" w:cs="Arial"/>
        </w:rPr>
      </w:pPr>
      <w:r>
        <w:rPr>
          <w:rFonts w:ascii="Arial" w:hAnsi="Arial" w:cs="Arial"/>
          <w:b/>
        </w:rPr>
        <w:t>C</w:t>
      </w:r>
      <w:r w:rsidR="00DF2C94" w:rsidRPr="004211AE">
        <w:rPr>
          <w:rFonts w:ascii="Arial" w:hAnsi="Arial" w:cs="Arial"/>
          <w:b/>
        </w:rPr>
        <w:t>hronic exposure</w:t>
      </w:r>
      <w:r>
        <w:rPr>
          <w:rFonts w:ascii="Arial" w:hAnsi="Arial" w:cs="Arial"/>
          <w:b/>
        </w:rPr>
        <w:t>:</w:t>
      </w:r>
      <w:r w:rsidR="00DF2C94" w:rsidRPr="004211AE">
        <w:rPr>
          <w:rFonts w:ascii="Arial" w:hAnsi="Arial" w:cs="Arial"/>
        </w:rPr>
        <w:t xml:space="preserve"> regular exposure to small amounts of a substance over a long period. </w:t>
      </w:r>
    </w:p>
    <w:p w:rsidR="00DF2C94" w:rsidRDefault="00DF2C94" w:rsidP="00DF2C94">
      <w:pPr>
        <w:spacing w:after="120" w:line="240" w:lineRule="auto"/>
        <w:rPr>
          <w:rFonts w:ascii="Arial" w:hAnsi="Arial" w:cs="Arial"/>
        </w:rPr>
      </w:pPr>
    </w:p>
    <w:p w:rsidR="004211AE" w:rsidRDefault="004211AE" w:rsidP="00DF2C94">
      <w:pPr>
        <w:spacing w:after="120" w:line="240" w:lineRule="auto"/>
        <w:rPr>
          <w:rFonts w:ascii="Arial" w:hAnsi="Arial" w:cs="Arial"/>
        </w:rPr>
      </w:pPr>
    </w:p>
    <w:p w:rsidR="004211AE" w:rsidRDefault="004211AE" w:rsidP="004211AE">
      <w:pPr>
        <w:pStyle w:val="ListParagraph"/>
        <w:numPr>
          <w:ilvl w:val="12"/>
          <w:numId w:val="6"/>
        </w:numPr>
        <w:spacing w:after="0" w:line="240" w:lineRule="auto"/>
        <w:ind w:left="0"/>
        <w:jc w:val="center"/>
        <w:rPr>
          <w:rFonts w:ascii="Arial" w:hAnsi="Arial" w:cs="Arial"/>
          <w:b/>
          <w:sz w:val="28"/>
        </w:rPr>
      </w:pPr>
      <w:r w:rsidRPr="004211AE">
        <w:rPr>
          <w:rFonts w:ascii="Arial" w:hAnsi="Arial" w:cs="Arial"/>
          <w:b/>
          <w:sz w:val="28"/>
        </w:rPr>
        <w:t>SECTION VII</w:t>
      </w:r>
      <w:r w:rsidRPr="004211AE">
        <w:rPr>
          <w:rFonts w:ascii="Arial" w:hAnsi="Arial" w:cs="Arial"/>
          <w:b/>
          <w:sz w:val="28"/>
        </w:rPr>
        <w:t xml:space="preserve"> </w:t>
      </w:r>
      <w:r>
        <w:rPr>
          <w:rFonts w:ascii="Arial" w:hAnsi="Arial" w:cs="Arial"/>
          <w:b/>
          <w:sz w:val="28"/>
        </w:rPr>
        <w:t>–</w:t>
      </w:r>
      <w:r w:rsidRPr="004211AE">
        <w:rPr>
          <w:rFonts w:ascii="Arial" w:hAnsi="Arial" w:cs="Arial"/>
          <w:b/>
          <w:sz w:val="28"/>
        </w:rPr>
        <w:t xml:space="preserve"> P</w:t>
      </w:r>
      <w:r>
        <w:rPr>
          <w:rFonts w:ascii="Arial" w:hAnsi="Arial" w:cs="Arial"/>
          <w:b/>
          <w:sz w:val="28"/>
        </w:rPr>
        <w:t>RECAUTIONS FOR SAFE HANDLING AND USE</w:t>
      </w:r>
      <w:r w:rsidRPr="004211AE">
        <w:rPr>
          <w:rFonts w:ascii="Arial" w:hAnsi="Arial" w:cs="Arial"/>
          <w:b/>
          <w:sz w:val="28"/>
        </w:rPr>
        <w:t xml:space="preserve"> and S</w:t>
      </w:r>
      <w:r>
        <w:rPr>
          <w:rFonts w:ascii="Arial" w:hAnsi="Arial" w:cs="Arial"/>
          <w:b/>
          <w:sz w:val="28"/>
        </w:rPr>
        <w:t>ECTION</w:t>
      </w:r>
      <w:r w:rsidRPr="004211AE">
        <w:rPr>
          <w:rFonts w:ascii="Arial" w:hAnsi="Arial" w:cs="Arial"/>
          <w:b/>
          <w:sz w:val="28"/>
        </w:rPr>
        <w:t xml:space="preserve"> VIII </w:t>
      </w:r>
      <w:r>
        <w:rPr>
          <w:rFonts w:ascii="Arial" w:hAnsi="Arial" w:cs="Arial"/>
          <w:b/>
          <w:sz w:val="28"/>
        </w:rPr>
        <w:t>–</w:t>
      </w:r>
      <w:r w:rsidRPr="004211AE">
        <w:rPr>
          <w:rFonts w:ascii="Arial" w:hAnsi="Arial" w:cs="Arial"/>
          <w:b/>
          <w:sz w:val="28"/>
        </w:rPr>
        <w:t xml:space="preserve"> C</w:t>
      </w:r>
      <w:r>
        <w:rPr>
          <w:rFonts w:ascii="Arial" w:hAnsi="Arial" w:cs="Arial"/>
          <w:b/>
          <w:sz w:val="28"/>
        </w:rPr>
        <w:t>ONTROL MEASURES</w:t>
      </w:r>
    </w:p>
    <w:p w:rsidR="00FA7BC8" w:rsidRPr="004211AE" w:rsidRDefault="00DF2C94" w:rsidP="004211AE">
      <w:pPr>
        <w:pStyle w:val="ListParagraph"/>
        <w:numPr>
          <w:ilvl w:val="12"/>
          <w:numId w:val="0"/>
        </w:numPr>
        <w:spacing w:after="0" w:line="240" w:lineRule="auto"/>
        <w:rPr>
          <w:rFonts w:ascii="Arial" w:hAnsi="Arial" w:cs="Arial"/>
        </w:rPr>
      </w:pPr>
      <w:r w:rsidRPr="004211AE">
        <w:rPr>
          <w:rFonts w:ascii="Arial" w:hAnsi="Arial" w:cs="Arial"/>
        </w:rPr>
        <w:t>These sections</w:t>
      </w:r>
      <w:r w:rsidR="00FA7BC8" w:rsidRPr="004211AE">
        <w:rPr>
          <w:rFonts w:ascii="Arial" w:hAnsi="Arial" w:cs="Arial"/>
        </w:rPr>
        <w:t xml:space="preserve"> describe other precautionary and protection information.  Some of the precautions presented are intended for large-scale users and may not be necessary for use of small quantities of chemical.  Any questions about precautions or health effects should be referred to </w:t>
      </w:r>
      <w:r w:rsidR="004211AE" w:rsidRPr="004211AE">
        <w:rPr>
          <w:rFonts w:ascii="Arial" w:hAnsi="Arial" w:cs="Arial"/>
        </w:rPr>
        <w:t>your lab manager or LSCS OEM</w:t>
      </w:r>
      <w:r w:rsidR="004211AE">
        <w:rPr>
          <w:rFonts w:ascii="Arial" w:hAnsi="Arial" w:cs="Arial"/>
        </w:rPr>
        <w:t xml:space="preserve"> at 281.290.3680 or denise.c.walker@lonestar.edu</w:t>
      </w:r>
      <w:r w:rsidR="00FA7BC8" w:rsidRPr="004211AE">
        <w:rPr>
          <w:rFonts w:ascii="Arial" w:hAnsi="Arial" w:cs="Arial"/>
        </w:rPr>
        <w:t>.</w:t>
      </w:r>
    </w:p>
    <w:p w:rsidR="003A71F6" w:rsidRPr="003A71F6" w:rsidRDefault="003A71F6"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rPr>
          <w:rFonts w:ascii="Arial" w:hAnsi="Arial" w:cs="Arial"/>
        </w:rPr>
      </w:pPr>
    </w:p>
    <w:p w:rsidR="003A71F6" w:rsidRPr="003A71F6" w:rsidRDefault="003A71F6" w:rsidP="003A71F6">
      <w:pPr>
        <w:numPr>
          <w:ilvl w:val="12"/>
          <w:numId w:val="0"/>
        </w:numPr>
        <w:spacing w:after="0" w:line="240" w:lineRule="auto"/>
        <w:jc w:val="center"/>
        <w:rPr>
          <w:rFonts w:ascii="Arial" w:hAnsi="Arial" w:cs="Arial"/>
        </w:rPr>
      </w:pPr>
    </w:p>
    <w:p w:rsidR="00DF2C94" w:rsidRPr="003A71F6" w:rsidRDefault="00DF2C94" w:rsidP="003A71F6">
      <w:pPr>
        <w:spacing w:after="0" w:line="240" w:lineRule="auto"/>
        <w:rPr>
          <w:rFonts w:ascii="Arial" w:hAnsi="Arial" w:cs="Arial"/>
        </w:rPr>
      </w:pPr>
    </w:p>
    <w:sectPr w:rsidR="00DF2C94" w:rsidRPr="003A71F6" w:rsidSect="004211A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E0" w:rsidRDefault="004D3FE0" w:rsidP="00D46FFB">
      <w:pPr>
        <w:spacing w:after="0" w:line="240" w:lineRule="auto"/>
      </w:pPr>
      <w:r>
        <w:separator/>
      </w:r>
    </w:p>
  </w:endnote>
  <w:endnote w:type="continuationSeparator" w:id="0">
    <w:p w:rsidR="004D3FE0" w:rsidRDefault="004D3FE0" w:rsidP="00D4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AE" w:rsidRPr="004211AE" w:rsidRDefault="004211AE" w:rsidP="004211AE">
    <w:pPr>
      <w:pStyle w:val="Footer"/>
      <w:pBdr>
        <w:top w:val="single" w:sz="4" w:space="1" w:color="auto"/>
      </w:pBdr>
      <w:tabs>
        <w:tab w:val="clear" w:pos="9360"/>
        <w:tab w:val="right" w:pos="10080"/>
      </w:tabs>
      <w:rPr>
        <w:b/>
      </w:rPr>
    </w:pPr>
    <w:r w:rsidRPr="004211AE">
      <w:rPr>
        <w:b/>
      </w:rPr>
      <w:t>LSCS MSDS FORM 042012</w:t>
    </w:r>
    <w:r w:rsidRPr="004211AE">
      <w:rPr>
        <w:b/>
      </w:rPr>
      <w:tab/>
    </w:r>
    <w:r w:rsidRPr="004211AE">
      <w:rPr>
        <w:b/>
      </w:rPr>
      <w:tab/>
      <w:t xml:space="preserve">Page </w:t>
    </w:r>
    <w:sdt>
      <w:sdtPr>
        <w:rPr>
          <w:b/>
        </w:rPr>
        <w:id w:val="446588464"/>
        <w:docPartObj>
          <w:docPartGallery w:val="Page Numbers (Bottom of Page)"/>
          <w:docPartUnique/>
        </w:docPartObj>
      </w:sdtPr>
      <w:sdtEndPr>
        <w:rPr>
          <w:noProof/>
        </w:rPr>
      </w:sdtEndPr>
      <w:sdtContent>
        <w:r w:rsidRPr="004211AE">
          <w:rPr>
            <w:b/>
          </w:rPr>
          <w:fldChar w:fldCharType="begin"/>
        </w:r>
        <w:r w:rsidRPr="004211AE">
          <w:rPr>
            <w:b/>
          </w:rPr>
          <w:instrText xml:space="preserve"> PAGE   \* MERGEFORMAT </w:instrText>
        </w:r>
        <w:r w:rsidRPr="004211AE">
          <w:rPr>
            <w:b/>
          </w:rPr>
          <w:fldChar w:fldCharType="separate"/>
        </w:r>
        <w:r w:rsidR="004757EF">
          <w:rPr>
            <w:b/>
            <w:noProof/>
          </w:rPr>
          <w:t>5</w:t>
        </w:r>
        <w:r w:rsidRPr="004211AE">
          <w:rPr>
            <w:b/>
            <w:noProof/>
          </w:rPr>
          <w:fldChar w:fldCharType="end"/>
        </w:r>
      </w:sdtContent>
    </w:sdt>
  </w:p>
  <w:p w:rsidR="004211AE" w:rsidRDefault="00421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E0" w:rsidRDefault="004D3FE0" w:rsidP="00D46FFB">
      <w:pPr>
        <w:spacing w:after="0" w:line="240" w:lineRule="auto"/>
      </w:pPr>
      <w:r>
        <w:separator/>
      </w:r>
    </w:p>
  </w:footnote>
  <w:footnote w:type="continuationSeparator" w:id="0">
    <w:p w:rsidR="004D3FE0" w:rsidRDefault="004D3FE0" w:rsidP="00D46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4927"/>
      <w:gridCol w:w="4508"/>
      <w:gridCol w:w="915"/>
    </w:tblGrid>
    <w:tr w:rsidR="00D46FFB" w:rsidRPr="00D46FFB" w:rsidTr="004211AE">
      <w:trPr>
        <w:tblCellSpacing w:w="15" w:type="dxa"/>
      </w:trPr>
      <w:tc>
        <w:tcPr>
          <w:tcW w:w="4882" w:type="dxa"/>
          <w:hideMark/>
        </w:tcPr>
        <w:p w:rsidR="00D46FFB" w:rsidRPr="00D46FFB" w:rsidRDefault="00D46FFB" w:rsidP="00D46FFB">
          <w:pPr>
            <w:spacing w:after="0" w:line="240" w:lineRule="auto"/>
            <w:jc w:val="center"/>
            <w:rPr>
              <w:rFonts w:ascii="Tahoma" w:eastAsia="Times New Roman" w:hAnsi="Tahoma" w:cs="Tahoma"/>
              <w:sz w:val="24"/>
              <w:szCs w:val="24"/>
            </w:rPr>
          </w:pPr>
          <w:r w:rsidRPr="00D46FFB">
            <w:rPr>
              <w:rFonts w:ascii="Tahoma" w:eastAsia="Times New Roman" w:hAnsi="Tahoma" w:cs="Tahoma"/>
              <w:b/>
              <w:bCs/>
              <w:color w:val="003399"/>
              <w:sz w:val="24"/>
              <w:szCs w:val="24"/>
            </w:rPr>
            <w:t>Material Safety Data Sheet</w:t>
          </w:r>
          <w:r w:rsidRPr="00D46FFB">
            <w:rPr>
              <w:rFonts w:ascii="Tahoma" w:eastAsia="Times New Roman" w:hAnsi="Tahoma" w:cs="Tahoma"/>
              <w:sz w:val="24"/>
              <w:szCs w:val="24"/>
            </w:rPr>
            <w:t xml:space="preserve"> </w:t>
          </w:r>
          <w:r w:rsidRPr="00D46FFB">
            <w:rPr>
              <w:rFonts w:ascii="Tahoma" w:eastAsia="Times New Roman" w:hAnsi="Tahoma" w:cs="Tahoma"/>
              <w:color w:val="000000"/>
              <w:sz w:val="19"/>
              <w:szCs w:val="19"/>
            </w:rPr>
            <w:br/>
            <w:t xml:space="preserve">May be used to </w:t>
          </w:r>
          <w:r w:rsidRPr="00D46FFB">
            <w:rPr>
              <w:rFonts w:ascii="Tahoma" w:eastAsia="Times New Roman" w:hAnsi="Tahoma" w:cs="Tahoma"/>
              <w:b/>
              <w:color w:val="000000"/>
              <w:sz w:val="19"/>
              <w:szCs w:val="19"/>
            </w:rPr>
            <w:t xml:space="preserve">comply with </w:t>
          </w:r>
          <w:r w:rsidRPr="00D46FFB">
            <w:rPr>
              <w:rFonts w:ascii="Tahoma" w:eastAsia="Times New Roman" w:hAnsi="Tahoma" w:cs="Tahoma"/>
              <w:b/>
              <w:color w:val="000000"/>
              <w:sz w:val="19"/>
              <w:szCs w:val="19"/>
            </w:rPr>
            <w:br/>
            <w:t xml:space="preserve">OSHA's Hazard Communication Standard, </w:t>
          </w:r>
          <w:r w:rsidRPr="00D46FFB">
            <w:rPr>
              <w:rFonts w:ascii="Tahoma" w:eastAsia="Times New Roman" w:hAnsi="Tahoma" w:cs="Tahoma"/>
              <w:b/>
              <w:color w:val="000000"/>
              <w:sz w:val="19"/>
              <w:szCs w:val="19"/>
            </w:rPr>
            <w:br/>
            <w:t>29 CFR 1910.1200</w:t>
          </w:r>
          <w:r w:rsidRPr="00D46FFB">
            <w:rPr>
              <w:rFonts w:ascii="Tahoma" w:eastAsia="Times New Roman" w:hAnsi="Tahoma" w:cs="Tahoma"/>
              <w:color w:val="000000"/>
              <w:sz w:val="19"/>
              <w:szCs w:val="19"/>
            </w:rPr>
            <w:t xml:space="preserve">. Standard must be </w:t>
          </w:r>
          <w:r w:rsidRPr="00D46FFB">
            <w:rPr>
              <w:rFonts w:ascii="Tahoma" w:eastAsia="Times New Roman" w:hAnsi="Tahoma" w:cs="Tahoma"/>
              <w:color w:val="000000"/>
              <w:sz w:val="19"/>
              <w:szCs w:val="19"/>
            </w:rPr>
            <w:br/>
            <w:t xml:space="preserve">consulted for specific requirements. </w:t>
          </w:r>
        </w:p>
      </w:tc>
      <w:tc>
        <w:tcPr>
          <w:tcW w:w="4478" w:type="dxa"/>
          <w:vAlign w:val="center"/>
          <w:hideMark/>
        </w:tcPr>
        <w:p w:rsidR="00D46FFB" w:rsidRPr="00D46FFB" w:rsidRDefault="00D46FFB" w:rsidP="004211AE">
          <w:pPr>
            <w:spacing w:after="0" w:line="240" w:lineRule="auto"/>
            <w:jc w:val="center"/>
            <w:rPr>
              <w:rFonts w:ascii="Tahoma" w:eastAsia="Times New Roman" w:hAnsi="Tahoma" w:cs="Tahoma"/>
              <w:sz w:val="24"/>
              <w:szCs w:val="24"/>
            </w:rPr>
          </w:pPr>
          <w:r w:rsidRPr="00D46FFB">
            <w:rPr>
              <w:rFonts w:ascii="Tahoma" w:eastAsia="Times New Roman" w:hAnsi="Tahoma" w:cs="Tahoma"/>
              <w:b/>
              <w:bCs/>
              <w:color w:val="003399"/>
              <w:sz w:val="24"/>
              <w:szCs w:val="24"/>
            </w:rPr>
            <w:t>U.S. Department of Labor</w:t>
          </w:r>
          <w:r w:rsidRPr="00D46FFB">
            <w:rPr>
              <w:rFonts w:ascii="Tahoma" w:eastAsia="Times New Roman" w:hAnsi="Tahoma" w:cs="Tahoma"/>
              <w:sz w:val="24"/>
              <w:szCs w:val="24"/>
            </w:rPr>
            <w:t xml:space="preserve"> </w:t>
          </w:r>
          <w:r w:rsidR="004211AE">
            <w:rPr>
              <w:rFonts w:ascii="Tahoma" w:eastAsia="Times New Roman" w:hAnsi="Tahoma" w:cs="Tahoma"/>
              <w:sz w:val="24"/>
              <w:szCs w:val="24"/>
            </w:rPr>
            <w:br/>
          </w:r>
          <w:r w:rsidRPr="00D46FFB">
            <w:rPr>
              <w:rFonts w:ascii="Tahoma" w:eastAsia="Times New Roman" w:hAnsi="Tahoma" w:cs="Tahoma"/>
              <w:color w:val="000000"/>
              <w:sz w:val="19"/>
              <w:szCs w:val="19"/>
            </w:rPr>
            <w:t xml:space="preserve">Occupational Safety and Health Administration </w:t>
          </w:r>
          <w:r w:rsidRPr="00D46FFB">
            <w:rPr>
              <w:rFonts w:ascii="Tahoma" w:eastAsia="Times New Roman" w:hAnsi="Tahoma" w:cs="Tahoma"/>
              <w:color w:val="000000"/>
              <w:sz w:val="19"/>
              <w:szCs w:val="19"/>
            </w:rPr>
            <w:br/>
            <w:t xml:space="preserve">Form </w:t>
          </w:r>
          <w:r w:rsidR="004211AE">
            <w:rPr>
              <w:rFonts w:ascii="Tahoma" w:eastAsia="Times New Roman" w:hAnsi="Tahoma" w:cs="Tahoma"/>
              <w:color w:val="000000"/>
              <w:sz w:val="19"/>
              <w:szCs w:val="19"/>
            </w:rPr>
            <w:t xml:space="preserve">174 </w:t>
          </w:r>
          <w:r w:rsidRPr="00D46FFB">
            <w:rPr>
              <w:rFonts w:ascii="Tahoma" w:eastAsia="Times New Roman" w:hAnsi="Tahoma" w:cs="Tahoma"/>
              <w:color w:val="000000"/>
              <w:sz w:val="19"/>
              <w:szCs w:val="19"/>
            </w:rPr>
            <w:t xml:space="preserve">Approved </w:t>
          </w:r>
          <w:r w:rsidRPr="00D46FFB">
            <w:rPr>
              <w:rFonts w:ascii="Tahoma" w:eastAsia="Times New Roman" w:hAnsi="Tahoma" w:cs="Tahoma"/>
              <w:color w:val="000000"/>
              <w:sz w:val="19"/>
              <w:szCs w:val="19"/>
            </w:rPr>
            <w:br/>
            <w:t xml:space="preserve">OMB No. 1218-0072 </w:t>
          </w:r>
        </w:p>
      </w:tc>
      <w:tc>
        <w:tcPr>
          <w:tcW w:w="870" w:type="dxa"/>
          <w:hideMark/>
        </w:tcPr>
        <w:p w:rsidR="00D46FFB" w:rsidRPr="00D46FFB" w:rsidRDefault="00D46FFB" w:rsidP="00DF2C94">
          <w:pPr>
            <w:spacing w:after="0" w:line="240" w:lineRule="auto"/>
            <w:jc w:val="center"/>
            <w:rPr>
              <w:rFonts w:ascii="Tahoma" w:eastAsia="Times New Roman" w:hAnsi="Tahoma" w:cs="Tahoma"/>
              <w:sz w:val="24"/>
              <w:szCs w:val="24"/>
            </w:rPr>
          </w:pPr>
          <w:r>
            <w:rPr>
              <w:rFonts w:ascii="Tahoma" w:eastAsia="Times New Roman" w:hAnsi="Tahoma" w:cs="Tahoma"/>
              <w:noProof/>
              <w:sz w:val="24"/>
              <w:szCs w:val="24"/>
            </w:rPr>
            <w:drawing>
              <wp:inline distT="0" distB="0" distL="0" distR="0" wp14:anchorId="374D4782" wp14:editId="2ABD25C3">
                <wp:extent cx="531264" cy="742869"/>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e_Star_Vertical.jpg"/>
                        <pic:cNvPicPr/>
                      </pic:nvPicPr>
                      <pic:blipFill>
                        <a:blip r:embed="rId1">
                          <a:extLst>
                            <a:ext uri="{28A0092B-C50C-407E-A947-70E740481C1C}">
                              <a14:useLocalDpi xmlns:a14="http://schemas.microsoft.com/office/drawing/2010/main" val="0"/>
                            </a:ext>
                          </a:extLst>
                        </a:blip>
                        <a:stretch>
                          <a:fillRect/>
                        </a:stretch>
                      </pic:blipFill>
                      <pic:spPr>
                        <a:xfrm>
                          <a:off x="0" y="0"/>
                          <a:ext cx="533611" cy="746150"/>
                        </a:xfrm>
                        <a:prstGeom prst="rect">
                          <a:avLst/>
                        </a:prstGeom>
                      </pic:spPr>
                    </pic:pic>
                  </a:graphicData>
                </a:graphic>
              </wp:inline>
            </w:drawing>
          </w:r>
        </w:p>
      </w:tc>
    </w:tr>
  </w:tbl>
  <w:p w:rsidR="00D46FFB" w:rsidRDefault="00D46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79CE"/>
    <w:multiLevelType w:val="hybridMultilevel"/>
    <w:tmpl w:val="7174C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A6990"/>
    <w:multiLevelType w:val="hybridMultilevel"/>
    <w:tmpl w:val="1A4C5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273E9"/>
    <w:multiLevelType w:val="hybridMultilevel"/>
    <w:tmpl w:val="5F9E9EBC"/>
    <w:lvl w:ilvl="0" w:tplc="04090017">
      <w:start w:val="1"/>
      <w:numFmt w:val="lowerLetter"/>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5137FEF"/>
    <w:multiLevelType w:val="hybridMultilevel"/>
    <w:tmpl w:val="A8540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A786B"/>
    <w:multiLevelType w:val="hybridMultilevel"/>
    <w:tmpl w:val="F2880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7725E"/>
    <w:multiLevelType w:val="hybridMultilevel"/>
    <w:tmpl w:val="B378A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457B2"/>
    <w:multiLevelType w:val="hybridMultilevel"/>
    <w:tmpl w:val="E37CC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FB"/>
    <w:rsid w:val="0015084B"/>
    <w:rsid w:val="002C1D8A"/>
    <w:rsid w:val="003A71F6"/>
    <w:rsid w:val="004211AE"/>
    <w:rsid w:val="0042249D"/>
    <w:rsid w:val="004757EF"/>
    <w:rsid w:val="004D3FE0"/>
    <w:rsid w:val="006B5FDF"/>
    <w:rsid w:val="0095541D"/>
    <w:rsid w:val="00D46FFB"/>
    <w:rsid w:val="00DF2C94"/>
    <w:rsid w:val="00EE198B"/>
    <w:rsid w:val="00FA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FB"/>
    <w:rPr>
      <w:rFonts w:ascii="Tahoma" w:hAnsi="Tahoma" w:cs="Tahoma"/>
      <w:sz w:val="16"/>
      <w:szCs w:val="16"/>
    </w:rPr>
  </w:style>
  <w:style w:type="paragraph" w:styleId="Header">
    <w:name w:val="header"/>
    <w:basedOn w:val="Normal"/>
    <w:link w:val="HeaderChar"/>
    <w:uiPriority w:val="99"/>
    <w:unhideWhenUsed/>
    <w:rsid w:val="00D46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FFB"/>
  </w:style>
  <w:style w:type="paragraph" w:styleId="Footer">
    <w:name w:val="footer"/>
    <w:basedOn w:val="Normal"/>
    <w:link w:val="FooterChar"/>
    <w:uiPriority w:val="99"/>
    <w:unhideWhenUsed/>
    <w:rsid w:val="00D46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FB"/>
  </w:style>
  <w:style w:type="paragraph" w:customStyle="1" w:styleId="BodyStyle">
    <w:name w:val="Body Style"/>
    <w:rsid w:val="003A71F6"/>
    <w:pPr>
      <w:tabs>
        <w:tab w:val="left" w:pos="720"/>
        <w:tab w:val="left" w:pos="1440"/>
        <w:tab w:val="left" w:pos="7200"/>
      </w:tabs>
      <w:spacing w:after="0" w:line="240" w:lineRule="auto"/>
    </w:pPr>
    <w:rPr>
      <w:rFonts w:ascii="Geneva" w:eastAsia="Times New Roman" w:hAnsi="Geneva" w:cs="Times New Roman"/>
      <w:sz w:val="24"/>
      <w:szCs w:val="20"/>
    </w:rPr>
  </w:style>
  <w:style w:type="paragraph" w:styleId="ListParagraph">
    <w:name w:val="List Paragraph"/>
    <w:basedOn w:val="Normal"/>
    <w:uiPriority w:val="34"/>
    <w:qFormat/>
    <w:rsid w:val="003A71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FB"/>
    <w:rPr>
      <w:rFonts w:ascii="Tahoma" w:hAnsi="Tahoma" w:cs="Tahoma"/>
      <w:sz w:val="16"/>
      <w:szCs w:val="16"/>
    </w:rPr>
  </w:style>
  <w:style w:type="paragraph" w:styleId="Header">
    <w:name w:val="header"/>
    <w:basedOn w:val="Normal"/>
    <w:link w:val="HeaderChar"/>
    <w:uiPriority w:val="99"/>
    <w:unhideWhenUsed/>
    <w:rsid w:val="00D46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FFB"/>
  </w:style>
  <w:style w:type="paragraph" w:styleId="Footer">
    <w:name w:val="footer"/>
    <w:basedOn w:val="Normal"/>
    <w:link w:val="FooterChar"/>
    <w:uiPriority w:val="99"/>
    <w:unhideWhenUsed/>
    <w:rsid w:val="00D46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FB"/>
  </w:style>
  <w:style w:type="paragraph" w:customStyle="1" w:styleId="BodyStyle">
    <w:name w:val="Body Style"/>
    <w:rsid w:val="003A71F6"/>
    <w:pPr>
      <w:tabs>
        <w:tab w:val="left" w:pos="720"/>
        <w:tab w:val="left" w:pos="1440"/>
        <w:tab w:val="left" w:pos="7200"/>
      </w:tabs>
      <w:spacing w:after="0" w:line="240" w:lineRule="auto"/>
    </w:pPr>
    <w:rPr>
      <w:rFonts w:ascii="Geneva" w:eastAsia="Times New Roman" w:hAnsi="Geneva" w:cs="Times New Roman"/>
      <w:sz w:val="24"/>
      <w:szCs w:val="20"/>
    </w:rPr>
  </w:style>
  <w:style w:type="paragraph" w:styleId="ListParagraph">
    <w:name w:val="List Paragraph"/>
    <w:basedOn w:val="Normal"/>
    <w:uiPriority w:val="34"/>
    <w:qFormat/>
    <w:rsid w:val="003A7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452680">
      <w:bodyDiv w:val="1"/>
      <w:marLeft w:val="0"/>
      <w:marRight w:val="0"/>
      <w:marTop w:val="0"/>
      <w:marBottom w:val="0"/>
      <w:divBdr>
        <w:top w:val="none" w:sz="0" w:space="0" w:color="auto"/>
        <w:left w:val="none" w:sz="0" w:space="0" w:color="auto"/>
        <w:bottom w:val="none" w:sz="0" w:space="0" w:color="auto"/>
        <w:right w:val="none" w:sz="0" w:space="0" w:color="auto"/>
      </w:divBdr>
      <w:divsChild>
        <w:div w:id="203182685">
          <w:marLeft w:val="0"/>
          <w:marRight w:val="0"/>
          <w:marTop w:val="0"/>
          <w:marBottom w:val="0"/>
          <w:divBdr>
            <w:top w:val="single" w:sz="2" w:space="0" w:color="454545"/>
            <w:left w:val="single" w:sz="6" w:space="0" w:color="454545"/>
            <w:bottom w:val="single" w:sz="6" w:space="0" w:color="454545"/>
            <w:right w:val="single" w:sz="6" w:space="0" w:color="454545"/>
          </w:divBdr>
          <w:divsChild>
            <w:div w:id="750932337">
              <w:marLeft w:val="0"/>
              <w:marRight w:val="0"/>
              <w:marTop w:val="0"/>
              <w:marBottom w:val="0"/>
              <w:divBdr>
                <w:top w:val="none" w:sz="0" w:space="0" w:color="auto"/>
                <w:left w:val="none" w:sz="0" w:space="0" w:color="auto"/>
                <w:bottom w:val="none" w:sz="0" w:space="0" w:color="auto"/>
                <w:right w:val="none" w:sz="0" w:space="0" w:color="auto"/>
              </w:divBdr>
              <w:divsChild>
                <w:div w:id="2942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6519">
      <w:bodyDiv w:val="1"/>
      <w:marLeft w:val="0"/>
      <w:marRight w:val="0"/>
      <w:marTop w:val="0"/>
      <w:marBottom w:val="0"/>
      <w:divBdr>
        <w:top w:val="none" w:sz="0" w:space="0" w:color="auto"/>
        <w:left w:val="none" w:sz="0" w:space="0" w:color="auto"/>
        <w:bottom w:val="none" w:sz="0" w:space="0" w:color="auto"/>
        <w:right w:val="none" w:sz="0" w:space="0" w:color="auto"/>
      </w:divBdr>
      <w:divsChild>
        <w:div w:id="1482232432">
          <w:marLeft w:val="0"/>
          <w:marRight w:val="0"/>
          <w:marTop w:val="0"/>
          <w:marBottom w:val="0"/>
          <w:divBdr>
            <w:top w:val="single" w:sz="2" w:space="0" w:color="454545"/>
            <w:left w:val="single" w:sz="6" w:space="0" w:color="454545"/>
            <w:bottom w:val="single" w:sz="6" w:space="0" w:color="454545"/>
            <w:right w:val="single" w:sz="6" w:space="0" w:color="454545"/>
          </w:divBdr>
          <w:divsChild>
            <w:div w:id="1803158707">
              <w:marLeft w:val="0"/>
              <w:marRight w:val="0"/>
              <w:marTop w:val="0"/>
              <w:marBottom w:val="0"/>
              <w:divBdr>
                <w:top w:val="none" w:sz="0" w:space="0" w:color="auto"/>
                <w:left w:val="none" w:sz="0" w:space="0" w:color="auto"/>
                <w:bottom w:val="none" w:sz="0" w:space="0" w:color="auto"/>
                <w:right w:val="none" w:sz="0" w:space="0" w:color="auto"/>
              </w:divBdr>
              <w:divsChild>
                <w:div w:id="15088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DF"/>
    <w:rsid w:val="00077F5A"/>
    <w:rsid w:val="00C4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A4704B55940739B4AD6FC64F59307">
    <w:name w:val="C17A4704B55940739B4AD6FC64F59307"/>
    <w:rsid w:val="00C478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A4704B55940739B4AD6FC64F59307">
    <w:name w:val="C17A4704B55940739B4AD6FC64F59307"/>
    <w:rsid w:val="00C47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Denise C</dc:creator>
  <cp:lastModifiedBy>Walker, Denise C</cp:lastModifiedBy>
  <cp:revision>2</cp:revision>
  <dcterms:created xsi:type="dcterms:W3CDTF">2012-05-02T20:55:00Z</dcterms:created>
  <dcterms:modified xsi:type="dcterms:W3CDTF">2012-05-02T20:55:00Z</dcterms:modified>
</cp:coreProperties>
</file>