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0A" w:rsidRPr="00322A19" w:rsidRDefault="0098000A" w:rsidP="00C46420">
      <w:pPr>
        <w:spacing w:after="0" w:line="240" w:lineRule="auto"/>
        <w:jc w:val="center"/>
        <w:rPr>
          <w:b/>
        </w:rPr>
      </w:pPr>
      <w:r w:rsidRPr="00322A19">
        <w:rPr>
          <w:b/>
        </w:rPr>
        <w:t>VP COUNCIL MINUTES</w:t>
      </w:r>
    </w:p>
    <w:p w:rsidR="0098000A" w:rsidRDefault="0098000A" w:rsidP="00C46420">
      <w:pPr>
        <w:spacing w:after="0" w:line="240" w:lineRule="auto"/>
        <w:jc w:val="center"/>
        <w:rPr>
          <w:b/>
        </w:rPr>
      </w:pPr>
      <w:r>
        <w:rPr>
          <w:b/>
        </w:rPr>
        <w:t>April 15, 2008</w:t>
      </w:r>
    </w:p>
    <w:p w:rsidR="00990103" w:rsidRDefault="00990103" w:rsidP="00C46420">
      <w:pPr>
        <w:spacing w:after="0" w:line="240" w:lineRule="auto"/>
        <w:jc w:val="center"/>
      </w:pPr>
    </w:p>
    <w:p w:rsidR="0098000A" w:rsidRDefault="0098000A" w:rsidP="00C94CA6">
      <w:pPr>
        <w:spacing w:after="0" w:line="240" w:lineRule="auto"/>
        <w:ind w:left="990" w:hanging="990"/>
      </w:pPr>
      <w:r w:rsidRPr="00D5336C">
        <w:rPr>
          <w:b/>
        </w:rPr>
        <w:t>PRESENT:</w:t>
      </w:r>
      <w:r>
        <w:t xml:space="preserve">  Cher Brock, Bill Coppola</w:t>
      </w:r>
      <w:r w:rsidR="002B5849">
        <w:t>, Julie</w:t>
      </w:r>
      <w:r>
        <w:t xml:space="preserve"> Leidig, Gary Liebst, Judy Murray, Larry Rideaux</w:t>
      </w:r>
      <w:proofErr w:type="gramStart"/>
      <w:r>
        <w:t>,</w:t>
      </w:r>
      <w:proofErr w:type="gramEnd"/>
      <w:r>
        <w:br/>
        <w:t>Deana Sheppard, Linda Luehrs-Wolfe</w:t>
      </w:r>
    </w:p>
    <w:p w:rsidR="0098000A" w:rsidRDefault="0098000A" w:rsidP="00C46420">
      <w:pPr>
        <w:spacing w:after="0" w:line="240" w:lineRule="auto"/>
      </w:pPr>
      <w:r w:rsidRPr="00D5336C">
        <w:rPr>
          <w:b/>
        </w:rPr>
        <w:t>GUESTS:</w:t>
      </w:r>
      <w:r>
        <w:t xml:space="preserve">  Bonnie Longnion, </w:t>
      </w:r>
      <w:r w:rsidR="000E7137">
        <w:t xml:space="preserve">Kristen Lu King, </w:t>
      </w:r>
      <w:r>
        <w:t>Susanne Thaler, Marie Thibodeaux, Christina Todd</w:t>
      </w:r>
      <w:r w:rsidR="001A3AFE">
        <w:t>, Debra Rockefeller</w:t>
      </w:r>
    </w:p>
    <w:p w:rsidR="00990103" w:rsidRDefault="00990103" w:rsidP="00C46420">
      <w:pPr>
        <w:spacing w:after="0" w:line="240" w:lineRule="auto"/>
      </w:pPr>
    </w:p>
    <w:p w:rsidR="0059793F" w:rsidRPr="0059793F" w:rsidRDefault="0098000A" w:rsidP="00C46420">
      <w:pPr>
        <w:pStyle w:val="ListParagraph"/>
        <w:numPr>
          <w:ilvl w:val="0"/>
          <w:numId w:val="1"/>
        </w:numPr>
        <w:spacing w:after="0" w:line="240" w:lineRule="auto"/>
      </w:pPr>
      <w:r w:rsidRPr="0098000A">
        <w:rPr>
          <w:b/>
        </w:rPr>
        <w:t>Perkins Grant-Reporting Process (Bonnie Longnion)</w:t>
      </w:r>
    </w:p>
    <w:p w:rsidR="0059793F" w:rsidRDefault="0098000A" w:rsidP="00C46420">
      <w:pPr>
        <w:spacing w:after="0" w:line="240" w:lineRule="auto"/>
        <w:ind w:left="360"/>
      </w:pPr>
      <w:r>
        <w:t xml:space="preserve">Request for Application (RFA) </w:t>
      </w:r>
      <w:r w:rsidR="009E5ECA">
        <w:t xml:space="preserve">for Basic Grant </w:t>
      </w:r>
      <w:r>
        <w:t>was distributed</w:t>
      </w:r>
      <w:r w:rsidR="009E5ECA">
        <w:t>, and Bonnie noted the following:</w:t>
      </w:r>
    </w:p>
    <w:p w:rsidR="00C94BFE" w:rsidRDefault="009E5ECA" w:rsidP="00C46420">
      <w:pPr>
        <w:pStyle w:val="ListParagraph"/>
        <w:numPr>
          <w:ilvl w:val="1"/>
          <w:numId w:val="3"/>
        </w:numPr>
        <w:spacing w:after="0" w:line="240" w:lineRule="auto"/>
        <w:ind w:left="720"/>
      </w:pPr>
      <w:r>
        <w:t>Allocation will more than likely be less than last year; perhaps 60/40 vs. 70/30</w:t>
      </w:r>
      <w:r w:rsidR="0059793F">
        <w:t>.</w:t>
      </w:r>
    </w:p>
    <w:p w:rsidR="009E5ECA" w:rsidRDefault="009E5ECA" w:rsidP="00C46420">
      <w:pPr>
        <w:pStyle w:val="ListParagraph"/>
        <w:numPr>
          <w:ilvl w:val="0"/>
          <w:numId w:val="3"/>
        </w:numPr>
        <w:tabs>
          <w:tab w:val="left" w:pos="720"/>
        </w:tabs>
        <w:spacing w:after="0" w:line="240" w:lineRule="auto"/>
        <w:ind w:hanging="1080"/>
      </w:pPr>
      <w:r>
        <w:t>How the proposal is written will be critical as a different process will be used for review.</w:t>
      </w:r>
    </w:p>
    <w:p w:rsidR="001F76A8" w:rsidRDefault="001F76A8" w:rsidP="00C46420">
      <w:pPr>
        <w:pStyle w:val="ListParagraph"/>
        <w:numPr>
          <w:ilvl w:val="0"/>
          <w:numId w:val="3"/>
        </w:numPr>
        <w:tabs>
          <w:tab w:val="left" w:pos="720"/>
        </w:tabs>
        <w:spacing w:after="0" w:line="240" w:lineRule="auto"/>
        <w:ind w:left="720"/>
      </w:pPr>
      <w:r>
        <w:t>Martha Oburn will provide data, and Bonnie will forward for consideration</w:t>
      </w:r>
      <w:r w:rsidR="0059793F">
        <w:t xml:space="preserve"> as to what formula will be most advantageous.  The current formula has been used for the past 12 years and is outdated.  She will also provide calcu</w:t>
      </w:r>
      <w:r w:rsidR="006539EB">
        <w:t>lations for impact on last year.  (See below.)</w:t>
      </w:r>
    </w:p>
    <w:p w:rsidR="001F76A8" w:rsidRDefault="001F76A8" w:rsidP="00C46420">
      <w:pPr>
        <w:pStyle w:val="ListParagraph"/>
        <w:numPr>
          <w:ilvl w:val="0"/>
          <w:numId w:val="3"/>
        </w:numPr>
        <w:tabs>
          <w:tab w:val="left" w:pos="720"/>
        </w:tabs>
        <w:spacing w:after="0" w:line="240" w:lineRule="auto"/>
        <w:ind w:left="720"/>
      </w:pPr>
      <w:r>
        <w:t xml:space="preserve">Bonnie asked that council recommend a system-wide </w:t>
      </w:r>
      <w:r w:rsidR="00737CA2">
        <w:t xml:space="preserve">Tech Prep </w:t>
      </w:r>
      <w:r>
        <w:t>program of study for business/industry with seamless articulation—high school through university—for modeling purposes</w:t>
      </w:r>
      <w:r w:rsidR="005674BD">
        <w:t>,</w:t>
      </w:r>
      <w:r>
        <w:t xml:space="preserve"> and management was chosen.</w:t>
      </w:r>
      <w:r w:rsidR="000E7137">
        <w:t xml:space="preserve">  Christina will provide information.</w:t>
      </w:r>
    </w:p>
    <w:p w:rsidR="0059793F" w:rsidRDefault="0059793F" w:rsidP="00C46420">
      <w:pPr>
        <w:pStyle w:val="ListParagraph"/>
        <w:numPr>
          <w:ilvl w:val="0"/>
          <w:numId w:val="3"/>
        </w:numPr>
        <w:tabs>
          <w:tab w:val="left" w:pos="720"/>
        </w:tabs>
        <w:spacing w:after="0" w:line="240" w:lineRule="auto"/>
        <w:ind w:left="720"/>
      </w:pPr>
      <w:r>
        <w:t>Bonnie will forward brief summary e-mails to council to keep them informed as the deadline is May 16.</w:t>
      </w:r>
    </w:p>
    <w:p w:rsidR="007B7013" w:rsidRPr="007B7013" w:rsidRDefault="007B7013" w:rsidP="007B7013">
      <w:pPr>
        <w:tabs>
          <w:tab w:val="left" w:pos="720"/>
        </w:tabs>
        <w:spacing w:after="0" w:line="240" w:lineRule="auto"/>
        <w:rPr>
          <w:sz w:val="20"/>
          <w:szCs w:val="20"/>
        </w:rPr>
      </w:pPr>
    </w:p>
    <w:tbl>
      <w:tblPr>
        <w:tblW w:w="7840" w:type="dxa"/>
        <w:tblInd w:w="93" w:type="dxa"/>
        <w:tblLook w:val="04A0"/>
      </w:tblPr>
      <w:tblGrid>
        <w:gridCol w:w="2960"/>
        <w:gridCol w:w="1960"/>
        <w:gridCol w:w="1500"/>
        <w:gridCol w:w="1420"/>
      </w:tblGrid>
      <w:tr w:rsidR="00C8647C" w:rsidRPr="00C8647C" w:rsidTr="00C8647C">
        <w:trPr>
          <w:trHeight w:val="315"/>
        </w:trPr>
        <w:tc>
          <w:tcPr>
            <w:tcW w:w="7840" w:type="dxa"/>
            <w:gridSpan w:val="4"/>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b/>
                <w:bCs/>
                <w:sz w:val="24"/>
                <w:szCs w:val="24"/>
              </w:rPr>
            </w:pPr>
            <w:r w:rsidRPr="00C8647C">
              <w:rPr>
                <w:rFonts w:ascii="Arial" w:eastAsia="Times New Roman" w:hAnsi="Arial" w:cs="Arial"/>
                <w:b/>
                <w:bCs/>
                <w:sz w:val="24"/>
                <w:szCs w:val="24"/>
              </w:rPr>
              <w:t>Perkins Grant Modeling for the 07-08 allocations</w:t>
            </w:r>
          </w:p>
        </w:tc>
      </w:tr>
      <w:tr w:rsidR="00C8647C" w:rsidRPr="00C8647C" w:rsidTr="00C8647C">
        <w:trPr>
          <w:trHeight w:val="255"/>
        </w:trPr>
        <w:tc>
          <w:tcPr>
            <w:tcW w:w="296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c>
          <w:tcPr>
            <w:tcW w:w="196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c>
          <w:tcPr>
            <w:tcW w:w="150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c>
          <w:tcPr>
            <w:tcW w:w="142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r>
      <w:tr w:rsidR="00C8647C" w:rsidRPr="000E7137" w:rsidTr="00C8647C">
        <w:trPr>
          <w:trHeight w:val="255"/>
        </w:trPr>
        <w:tc>
          <w:tcPr>
            <w:tcW w:w="296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PELL - Fall 2006</w:t>
            </w:r>
          </w:p>
        </w:tc>
        <w:tc>
          <w:tcPr>
            <w:tcW w:w="196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c>
          <w:tcPr>
            <w:tcW w:w="150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c>
          <w:tcPr>
            <w:tcW w:w="142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r>
      <w:tr w:rsidR="00C8647C" w:rsidRPr="000E7137" w:rsidTr="00C8647C">
        <w:trPr>
          <w:trHeight w:val="765"/>
        </w:trPr>
        <w:tc>
          <w:tcPr>
            <w:tcW w:w="296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College</w:t>
            </w:r>
          </w:p>
        </w:tc>
        <w:tc>
          <w:tcPr>
            <w:tcW w:w="1960" w:type="dxa"/>
            <w:tcBorders>
              <w:top w:val="single" w:sz="4" w:space="0" w:color="auto"/>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PELL Students w/Technical Majors</w:t>
            </w:r>
          </w:p>
        </w:tc>
        <w:tc>
          <w:tcPr>
            <w:tcW w:w="1500" w:type="dxa"/>
            <w:tcBorders>
              <w:top w:val="single" w:sz="4" w:space="0" w:color="auto"/>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Percentage of Total</w:t>
            </w:r>
          </w:p>
        </w:tc>
        <w:tc>
          <w:tcPr>
            <w:tcW w:w="1420" w:type="dxa"/>
            <w:tcBorders>
              <w:top w:val="single" w:sz="4" w:space="0" w:color="auto"/>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Allocation</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North Harris</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1,091</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32.1%</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xml:space="preserve">          123,589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Kingwood</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617</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18.1%</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xml:space="preserve">           69,687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Tomball</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445</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13.1%</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xml:space="preserve">           50,436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Montgomery</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608</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17.9%</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xml:space="preserve">           68,917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Cy-Fair</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639</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18.8%</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xml:space="preserve">           72,382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Totals</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3,400</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xml:space="preserve">          385,011 </w:t>
            </w:r>
          </w:p>
        </w:tc>
      </w:tr>
      <w:tr w:rsidR="00C8647C" w:rsidRPr="000E7137" w:rsidTr="00C8647C">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Source:  NHMCCD Colleague Query</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r>
      <w:tr w:rsidR="00C8647C" w:rsidRPr="000E7137" w:rsidTr="00C8647C">
        <w:trPr>
          <w:trHeight w:val="255"/>
        </w:trPr>
        <w:tc>
          <w:tcPr>
            <w:tcW w:w="296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c>
          <w:tcPr>
            <w:tcW w:w="196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c>
          <w:tcPr>
            <w:tcW w:w="150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c>
          <w:tcPr>
            <w:tcW w:w="142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r>
      <w:tr w:rsidR="00C8647C" w:rsidRPr="000E7137" w:rsidTr="00C8647C">
        <w:trPr>
          <w:trHeight w:val="255"/>
        </w:trPr>
        <w:tc>
          <w:tcPr>
            <w:tcW w:w="4920" w:type="dxa"/>
            <w:gridSpan w:val="2"/>
            <w:tcBorders>
              <w:top w:val="nil"/>
              <w:left w:val="nil"/>
              <w:bottom w:val="single" w:sz="4" w:space="0" w:color="auto"/>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Special Population Distribution - Fall 2006 -- #1</w:t>
            </w:r>
          </w:p>
        </w:tc>
        <w:tc>
          <w:tcPr>
            <w:tcW w:w="150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c>
          <w:tcPr>
            <w:tcW w:w="1420" w:type="dxa"/>
            <w:tcBorders>
              <w:top w:val="nil"/>
              <w:left w:val="nil"/>
              <w:bottom w:val="nil"/>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p>
        </w:tc>
      </w:tr>
      <w:tr w:rsidR="00C8647C" w:rsidRPr="000E7137" w:rsidTr="00C8647C">
        <w:trPr>
          <w:trHeight w:val="510"/>
        </w:trPr>
        <w:tc>
          <w:tcPr>
            <w:tcW w:w="2960" w:type="dxa"/>
            <w:tcBorders>
              <w:top w:val="nil"/>
              <w:left w:val="single" w:sz="4" w:space="0" w:color="auto"/>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College</w:t>
            </w:r>
          </w:p>
        </w:tc>
        <w:tc>
          <w:tcPr>
            <w:tcW w:w="1960" w:type="dxa"/>
            <w:tcBorders>
              <w:top w:val="nil"/>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Special Pops w/Technical Major</w:t>
            </w:r>
          </w:p>
        </w:tc>
        <w:tc>
          <w:tcPr>
            <w:tcW w:w="1500" w:type="dxa"/>
            <w:tcBorders>
              <w:top w:val="single" w:sz="4" w:space="0" w:color="auto"/>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Percentage of Total</w:t>
            </w:r>
          </w:p>
        </w:tc>
        <w:tc>
          <w:tcPr>
            <w:tcW w:w="1420" w:type="dxa"/>
            <w:tcBorders>
              <w:top w:val="single" w:sz="4" w:space="0" w:color="auto"/>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Allocation</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North Harris</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1,753</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29.7%</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Kingwood</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826</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14.0%</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Tomball</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932</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15.8%</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Montgomery</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893</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15.1%</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Cy-Fair</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1,496</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25.4%</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r>
      <w:tr w:rsidR="00C8647C" w:rsidRPr="00C8647C"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Totals</w:t>
            </w:r>
          </w:p>
        </w:tc>
        <w:tc>
          <w:tcPr>
            <w:tcW w:w="1960" w:type="dxa"/>
            <w:tcBorders>
              <w:top w:val="nil"/>
              <w:left w:val="nil"/>
              <w:bottom w:val="single" w:sz="4" w:space="0" w:color="auto"/>
              <w:right w:val="single" w:sz="4" w:space="0" w:color="auto"/>
            </w:tcBorders>
            <w:shd w:val="clear" w:color="auto" w:fill="auto"/>
            <w:vAlign w:val="bottom"/>
            <w:hideMark/>
          </w:tcPr>
          <w:p w:rsidR="00C8647C" w:rsidRPr="00C8647C" w:rsidRDefault="00C8647C" w:rsidP="00C8647C">
            <w:pPr>
              <w:spacing w:after="0" w:line="240" w:lineRule="auto"/>
              <w:jc w:val="right"/>
              <w:rPr>
                <w:rFonts w:ascii="Arial" w:eastAsia="Times New Roman" w:hAnsi="Arial" w:cs="Arial"/>
                <w:color w:val="0000FF"/>
                <w:sz w:val="20"/>
                <w:szCs w:val="20"/>
              </w:rPr>
            </w:pPr>
            <w:r w:rsidRPr="00C8647C">
              <w:rPr>
                <w:rFonts w:ascii="Arial" w:eastAsia="Times New Roman" w:hAnsi="Arial" w:cs="Arial"/>
                <w:color w:val="0000FF"/>
                <w:sz w:val="20"/>
                <w:szCs w:val="20"/>
              </w:rPr>
              <w:t>5,900</w:t>
            </w:r>
          </w:p>
        </w:tc>
        <w:tc>
          <w:tcPr>
            <w:tcW w:w="1500" w:type="dxa"/>
            <w:tcBorders>
              <w:top w:val="nil"/>
              <w:left w:val="nil"/>
              <w:bottom w:val="single" w:sz="4" w:space="0" w:color="auto"/>
              <w:right w:val="single" w:sz="4" w:space="0" w:color="auto"/>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r w:rsidRPr="00C8647C">
              <w:rPr>
                <w:rFonts w:ascii="Arial" w:eastAsia="Times New Roman" w:hAnsi="Arial" w:cs="Arial"/>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r w:rsidRPr="00C8647C">
              <w:rPr>
                <w:rFonts w:ascii="Arial" w:eastAsia="Times New Roman" w:hAnsi="Arial" w:cs="Arial"/>
                <w:sz w:val="20"/>
                <w:szCs w:val="20"/>
              </w:rPr>
              <w:t> </w:t>
            </w:r>
          </w:p>
        </w:tc>
      </w:tr>
      <w:tr w:rsidR="00C8647C" w:rsidRPr="00C8647C" w:rsidTr="00C8647C">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Source:  NHMCCD Data Warehouse CBM001 Report</w:t>
            </w:r>
          </w:p>
        </w:tc>
        <w:tc>
          <w:tcPr>
            <w:tcW w:w="1960" w:type="dxa"/>
            <w:tcBorders>
              <w:top w:val="nil"/>
              <w:left w:val="nil"/>
              <w:bottom w:val="single" w:sz="4" w:space="0" w:color="auto"/>
              <w:right w:val="single" w:sz="4" w:space="0" w:color="auto"/>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r w:rsidRPr="00C8647C">
              <w:rPr>
                <w:rFonts w:ascii="Arial" w:eastAsia="Times New Roman" w:hAnsi="Arial" w:cs="Arial"/>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r w:rsidRPr="00C8647C">
              <w:rPr>
                <w:rFonts w:ascii="Arial" w:eastAsia="Times New Roman" w:hAnsi="Arial" w:cs="Arial"/>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r w:rsidRPr="00C8647C">
              <w:rPr>
                <w:rFonts w:ascii="Arial" w:eastAsia="Times New Roman" w:hAnsi="Arial" w:cs="Arial"/>
                <w:sz w:val="20"/>
                <w:szCs w:val="20"/>
              </w:rPr>
              <w:t> </w:t>
            </w:r>
          </w:p>
        </w:tc>
      </w:tr>
      <w:tr w:rsidR="00C8647C" w:rsidRPr="00C8647C" w:rsidTr="00C8647C">
        <w:trPr>
          <w:trHeight w:val="255"/>
        </w:trPr>
        <w:tc>
          <w:tcPr>
            <w:tcW w:w="296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c>
          <w:tcPr>
            <w:tcW w:w="196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c>
          <w:tcPr>
            <w:tcW w:w="150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c>
          <w:tcPr>
            <w:tcW w:w="1420" w:type="dxa"/>
            <w:tcBorders>
              <w:top w:val="nil"/>
              <w:left w:val="nil"/>
              <w:bottom w:val="nil"/>
              <w:right w:val="nil"/>
            </w:tcBorders>
            <w:shd w:val="clear" w:color="auto" w:fill="auto"/>
            <w:vAlign w:val="bottom"/>
            <w:hideMark/>
          </w:tcPr>
          <w:p w:rsidR="00C8647C" w:rsidRPr="00C8647C" w:rsidRDefault="00C8647C" w:rsidP="00C8647C">
            <w:pPr>
              <w:spacing w:after="0" w:line="240" w:lineRule="auto"/>
              <w:rPr>
                <w:rFonts w:ascii="Arial" w:eastAsia="Times New Roman" w:hAnsi="Arial" w:cs="Arial"/>
                <w:sz w:val="20"/>
                <w:szCs w:val="20"/>
              </w:rPr>
            </w:pPr>
          </w:p>
        </w:tc>
      </w:tr>
      <w:tr w:rsidR="00C8647C" w:rsidRPr="000E7137" w:rsidTr="00C8647C">
        <w:trPr>
          <w:trHeight w:val="255"/>
        </w:trPr>
        <w:tc>
          <w:tcPr>
            <w:tcW w:w="7840" w:type="dxa"/>
            <w:gridSpan w:val="4"/>
            <w:tcBorders>
              <w:top w:val="nil"/>
              <w:left w:val="nil"/>
              <w:bottom w:val="single" w:sz="4" w:space="0" w:color="auto"/>
              <w:right w:val="nil"/>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lastRenderedPageBreak/>
              <w:t>Special Population Distribution - No Academically Disadvantage -- Fall 2006 - #2</w:t>
            </w:r>
          </w:p>
        </w:tc>
      </w:tr>
      <w:tr w:rsidR="00C8647C" w:rsidRPr="000E7137" w:rsidTr="00C8647C">
        <w:trPr>
          <w:trHeight w:val="510"/>
        </w:trPr>
        <w:tc>
          <w:tcPr>
            <w:tcW w:w="2960" w:type="dxa"/>
            <w:tcBorders>
              <w:top w:val="nil"/>
              <w:left w:val="single" w:sz="4" w:space="0" w:color="auto"/>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College</w:t>
            </w:r>
          </w:p>
        </w:tc>
        <w:tc>
          <w:tcPr>
            <w:tcW w:w="1960" w:type="dxa"/>
            <w:tcBorders>
              <w:top w:val="nil"/>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Special Pops w/Technical Major</w:t>
            </w:r>
          </w:p>
        </w:tc>
        <w:tc>
          <w:tcPr>
            <w:tcW w:w="1500" w:type="dxa"/>
            <w:tcBorders>
              <w:top w:val="nil"/>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Percentage of Total</w:t>
            </w:r>
          </w:p>
        </w:tc>
        <w:tc>
          <w:tcPr>
            <w:tcW w:w="1420" w:type="dxa"/>
            <w:tcBorders>
              <w:top w:val="nil"/>
              <w:left w:val="nil"/>
              <w:bottom w:val="single" w:sz="4" w:space="0" w:color="auto"/>
              <w:right w:val="single" w:sz="4" w:space="0" w:color="auto"/>
            </w:tcBorders>
            <w:shd w:val="clear" w:color="000000" w:fill="C0C0C0"/>
            <w:vAlign w:val="bottom"/>
            <w:hideMark/>
          </w:tcPr>
          <w:p w:rsidR="00C8647C" w:rsidRPr="000E7137" w:rsidRDefault="00C8647C" w:rsidP="00C8647C">
            <w:pPr>
              <w:spacing w:after="0" w:line="240" w:lineRule="auto"/>
              <w:jc w:val="right"/>
              <w:rPr>
                <w:rFonts w:asciiTheme="minorHAnsi" w:eastAsia="Times New Roman" w:hAnsiTheme="minorHAnsi" w:cs="Arial"/>
                <w:b/>
                <w:bCs/>
                <w:sz w:val="20"/>
                <w:szCs w:val="20"/>
              </w:rPr>
            </w:pPr>
            <w:r w:rsidRPr="000E7137">
              <w:rPr>
                <w:rFonts w:asciiTheme="minorHAnsi" w:eastAsia="Times New Roman" w:hAnsiTheme="minorHAnsi" w:cs="Arial"/>
                <w:b/>
                <w:bCs/>
                <w:sz w:val="20"/>
                <w:szCs w:val="20"/>
              </w:rPr>
              <w:t>Allocation</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North Harris</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953</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38.3%</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147,459</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Kingwood</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423</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17.0%</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65,452</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Tomball</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340</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13.7%</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52,746</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Montgomery</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407</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16.3%</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62,757</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Cy-Fair</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367</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14.7%</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56,596</w:t>
            </w:r>
          </w:p>
        </w:tc>
      </w:tr>
      <w:tr w:rsidR="00C8647C" w:rsidRPr="000E7137" w:rsidTr="00C8647C">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Totals</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color w:val="0000FF"/>
                <w:sz w:val="20"/>
                <w:szCs w:val="20"/>
              </w:rPr>
            </w:pPr>
            <w:r w:rsidRPr="000E7137">
              <w:rPr>
                <w:rFonts w:asciiTheme="minorHAnsi" w:eastAsia="Times New Roman" w:hAnsiTheme="minorHAnsi" w:cs="Arial"/>
                <w:color w:val="0000FF"/>
                <w:sz w:val="20"/>
                <w:szCs w:val="20"/>
              </w:rPr>
              <w:t>2,490</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jc w:val="right"/>
              <w:rPr>
                <w:rFonts w:asciiTheme="minorHAnsi" w:eastAsia="Times New Roman" w:hAnsiTheme="minorHAnsi" w:cs="Arial"/>
                <w:sz w:val="20"/>
                <w:szCs w:val="20"/>
              </w:rPr>
            </w:pPr>
            <w:r w:rsidRPr="000E7137">
              <w:rPr>
                <w:rFonts w:asciiTheme="minorHAnsi" w:eastAsia="Times New Roman" w:hAnsiTheme="minorHAnsi" w:cs="Arial"/>
                <w:sz w:val="20"/>
                <w:szCs w:val="20"/>
              </w:rPr>
              <w:t>385,010</w:t>
            </w:r>
          </w:p>
        </w:tc>
      </w:tr>
      <w:tr w:rsidR="00C8647C" w:rsidRPr="000E7137" w:rsidTr="00C8647C">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Source:  NHMCCD Data Warehouse CBM001 Report</w:t>
            </w:r>
          </w:p>
        </w:tc>
        <w:tc>
          <w:tcPr>
            <w:tcW w:w="196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C8647C" w:rsidRPr="000E7137" w:rsidRDefault="00C8647C" w:rsidP="00C8647C">
            <w:pPr>
              <w:spacing w:after="0" w:line="240" w:lineRule="auto"/>
              <w:rPr>
                <w:rFonts w:asciiTheme="minorHAnsi" w:eastAsia="Times New Roman" w:hAnsiTheme="minorHAnsi" w:cs="Arial"/>
                <w:sz w:val="20"/>
                <w:szCs w:val="20"/>
              </w:rPr>
            </w:pPr>
            <w:r w:rsidRPr="000E7137">
              <w:rPr>
                <w:rFonts w:asciiTheme="minorHAnsi" w:eastAsia="Times New Roman" w:hAnsiTheme="minorHAnsi" w:cs="Arial"/>
                <w:sz w:val="20"/>
                <w:szCs w:val="20"/>
              </w:rPr>
              <w:t> </w:t>
            </w:r>
          </w:p>
        </w:tc>
      </w:tr>
    </w:tbl>
    <w:p w:rsidR="0059793F" w:rsidRDefault="0059793F" w:rsidP="00C46420">
      <w:pPr>
        <w:tabs>
          <w:tab w:val="left" w:pos="720"/>
        </w:tabs>
        <w:spacing w:after="0" w:line="240" w:lineRule="auto"/>
      </w:pPr>
    </w:p>
    <w:p w:rsidR="0059793F" w:rsidRDefault="0059793F" w:rsidP="00C46420">
      <w:pPr>
        <w:pStyle w:val="ListParagraph"/>
        <w:numPr>
          <w:ilvl w:val="0"/>
          <w:numId w:val="1"/>
        </w:numPr>
        <w:spacing w:after="0" w:line="240" w:lineRule="auto"/>
        <w:rPr>
          <w:b/>
        </w:rPr>
      </w:pPr>
      <w:r>
        <w:rPr>
          <w:b/>
        </w:rPr>
        <w:t>DL Supervisor</w:t>
      </w:r>
      <w:r w:rsidR="00C46420">
        <w:rPr>
          <w:b/>
        </w:rPr>
        <w:t xml:space="preserve"> </w:t>
      </w:r>
      <w:r w:rsidR="000E7137">
        <w:rPr>
          <w:b/>
        </w:rPr>
        <w:t xml:space="preserve"> Access </w:t>
      </w:r>
      <w:r w:rsidR="00C46420">
        <w:rPr>
          <w:b/>
        </w:rPr>
        <w:t>(Debra Rockefeller)</w:t>
      </w:r>
    </w:p>
    <w:p w:rsidR="00C46420" w:rsidRDefault="000E7137" w:rsidP="00C46420">
      <w:pPr>
        <w:spacing w:after="0" w:line="240" w:lineRule="auto"/>
        <w:ind w:left="360"/>
      </w:pPr>
      <w:r>
        <w:t xml:space="preserve">The VPs supported the DL Council proposal that was approved by the dean’s council. Although a faculty survey was done up front, the VPs want faculty senate involved in the discussion and dissemination of the decision.  Debra and Linda will </w:t>
      </w:r>
      <w:r w:rsidR="00E0174D">
        <w:t>draft a statement to address issues</w:t>
      </w:r>
      <w:r w:rsidR="007B7013" w:rsidRPr="007B7013">
        <w:t xml:space="preserve"> </w:t>
      </w:r>
      <w:r w:rsidR="007B7013">
        <w:t>upfront</w:t>
      </w:r>
      <w:r w:rsidR="00E0174D">
        <w:t xml:space="preserve">.  VPs will then meet with </w:t>
      </w:r>
      <w:r w:rsidR="007B7013">
        <w:t>respective faculty senate presidents with the intent of fall implementation.</w:t>
      </w:r>
    </w:p>
    <w:p w:rsidR="007B7013" w:rsidRDefault="007B7013" w:rsidP="00C46420">
      <w:pPr>
        <w:spacing w:after="0" w:line="240" w:lineRule="auto"/>
        <w:ind w:left="360"/>
      </w:pPr>
    </w:p>
    <w:p w:rsidR="007B7013" w:rsidRDefault="007B7013" w:rsidP="00C46420">
      <w:pPr>
        <w:spacing w:after="0" w:line="240" w:lineRule="auto"/>
        <w:ind w:left="360"/>
      </w:pPr>
      <w:r>
        <w:t xml:space="preserve">Decision was also made that Vista mentors will not be extended through </w:t>
      </w:r>
      <w:r w:rsidR="000E7137">
        <w:t xml:space="preserve">the </w:t>
      </w:r>
      <w:r>
        <w:t>summer.</w:t>
      </w:r>
    </w:p>
    <w:p w:rsidR="007B7013" w:rsidRDefault="007B7013" w:rsidP="00C46420">
      <w:pPr>
        <w:spacing w:after="0" w:line="240" w:lineRule="auto"/>
        <w:ind w:left="360"/>
      </w:pPr>
    </w:p>
    <w:p w:rsidR="007B7013" w:rsidRDefault="007B7013" w:rsidP="007B7013">
      <w:pPr>
        <w:pStyle w:val="ListParagraph"/>
        <w:numPr>
          <w:ilvl w:val="0"/>
          <w:numId w:val="1"/>
        </w:numPr>
        <w:spacing w:after="0" w:line="240" w:lineRule="auto"/>
        <w:rPr>
          <w:b/>
        </w:rPr>
      </w:pPr>
      <w:r>
        <w:rPr>
          <w:b/>
        </w:rPr>
        <w:t>Curriculum Proposals (Marie Thibodeaux)</w:t>
      </w:r>
    </w:p>
    <w:p w:rsidR="005674BD" w:rsidRPr="005674BD" w:rsidRDefault="005674BD" w:rsidP="005674BD">
      <w:pPr>
        <w:spacing w:after="0" w:line="240" w:lineRule="auto"/>
        <w:ind w:left="360"/>
      </w:pPr>
      <w:r w:rsidRPr="005674BD">
        <w:t>Please see following document for actions.</w:t>
      </w:r>
      <w:r w:rsidR="000E7137">
        <w:t xml:space="preserve"> All proposals were approved.</w:t>
      </w:r>
    </w:p>
    <w:p w:rsidR="007B7013" w:rsidRDefault="00C852FD" w:rsidP="00E14439">
      <w:pPr>
        <w:spacing w:after="0" w:line="240" w:lineRule="auto"/>
        <w:ind w:left="360"/>
      </w:pPr>
      <w: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8" ShapeID="_x0000_i1025" DrawAspect="Icon" ObjectID="_1271154137" r:id="rId8">
            <o:FieldCodes>\s</o:FieldCodes>
          </o:OLEObject>
        </w:object>
      </w:r>
    </w:p>
    <w:p w:rsidR="005674BD" w:rsidRPr="008C1513" w:rsidRDefault="005674BD" w:rsidP="00E14439">
      <w:pPr>
        <w:spacing w:after="0" w:line="240" w:lineRule="auto"/>
        <w:ind w:left="360"/>
      </w:pPr>
    </w:p>
    <w:p w:rsidR="007B7013" w:rsidRDefault="007B7013" w:rsidP="007B7013">
      <w:pPr>
        <w:pStyle w:val="ListParagraph"/>
        <w:numPr>
          <w:ilvl w:val="0"/>
          <w:numId w:val="1"/>
        </w:numPr>
        <w:spacing w:after="0" w:line="240" w:lineRule="auto"/>
        <w:rPr>
          <w:b/>
        </w:rPr>
      </w:pPr>
      <w:r>
        <w:rPr>
          <w:b/>
        </w:rPr>
        <w:t>MAPS (Marie Thibodeaux)</w:t>
      </w:r>
    </w:p>
    <w:p w:rsidR="00FE7814" w:rsidRDefault="00FE7814" w:rsidP="00FE7814">
      <w:pPr>
        <w:pStyle w:val="ListParagraph"/>
        <w:ind w:left="360"/>
      </w:pPr>
      <w:r w:rsidRPr="00FE7814">
        <w:t>Council discussed</w:t>
      </w:r>
      <w:r>
        <w:t xml:space="preserve"> </w:t>
      </w:r>
      <w:r w:rsidR="000E7137">
        <w:t xml:space="preserve">recommended placement score changes and </w:t>
      </w:r>
      <w:r>
        <w:t>progression of math courses with the following considerations:</w:t>
      </w:r>
    </w:p>
    <w:p w:rsidR="007B7013" w:rsidRDefault="00FE7814" w:rsidP="00FE7814">
      <w:pPr>
        <w:pStyle w:val="ListParagraph"/>
        <w:numPr>
          <w:ilvl w:val="1"/>
          <w:numId w:val="3"/>
        </w:numPr>
        <w:spacing w:after="0" w:line="240" w:lineRule="auto"/>
        <w:ind w:left="720"/>
      </w:pPr>
      <w:r>
        <w:t xml:space="preserve">Math pathway:  trig or statistics </w:t>
      </w:r>
      <w:r w:rsidR="000E7137">
        <w:t>as options to MATH 1314</w:t>
      </w:r>
      <w:r>
        <w:t>.</w:t>
      </w:r>
    </w:p>
    <w:p w:rsidR="00FE7814" w:rsidRDefault="00FE7814" w:rsidP="00FE7814">
      <w:pPr>
        <w:pStyle w:val="ListParagraph"/>
        <w:numPr>
          <w:ilvl w:val="1"/>
          <w:numId w:val="3"/>
        </w:numPr>
        <w:spacing w:after="0" w:line="240" w:lineRule="auto"/>
        <w:ind w:left="720"/>
      </w:pPr>
      <w:r>
        <w:t xml:space="preserve">Proposed spring </w:t>
      </w:r>
      <w:r w:rsidR="000E7137">
        <w:t xml:space="preserve">09 </w:t>
      </w:r>
      <w:r>
        <w:t>implementation</w:t>
      </w:r>
      <w:r w:rsidR="000E7137">
        <w:t xml:space="preserve"> since fall registration is already occurring</w:t>
      </w:r>
      <w:r>
        <w:t>.</w:t>
      </w:r>
    </w:p>
    <w:p w:rsidR="00FE7814" w:rsidRDefault="00FE7814" w:rsidP="00FE7814">
      <w:pPr>
        <w:pStyle w:val="ListParagraph"/>
        <w:numPr>
          <w:ilvl w:val="1"/>
          <w:numId w:val="3"/>
        </w:numPr>
        <w:spacing w:after="0" w:line="240" w:lineRule="auto"/>
        <w:ind w:left="720"/>
      </w:pPr>
      <w:r>
        <w:t>Transition</w:t>
      </w:r>
      <w:r w:rsidR="006539EB">
        <w:t>ing</w:t>
      </w:r>
      <w:r>
        <w:t xml:space="preserve"> for those in the 60-67 range</w:t>
      </w:r>
      <w:r w:rsidR="000E7137">
        <w:t xml:space="preserve"> (meeting with advisor)</w:t>
      </w:r>
      <w:r>
        <w:t>.</w:t>
      </w:r>
    </w:p>
    <w:p w:rsidR="00FE7814" w:rsidRDefault="00FE7814" w:rsidP="00FE7814">
      <w:pPr>
        <w:pStyle w:val="ListParagraph"/>
        <w:numPr>
          <w:ilvl w:val="1"/>
          <w:numId w:val="3"/>
        </w:numPr>
        <w:spacing w:after="0" w:line="240" w:lineRule="auto"/>
        <w:ind w:left="720"/>
      </w:pPr>
      <w:r>
        <w:t>More data-based information is needed</w:t>
      </w:r>
      <w:r w:rsidR="000E7137">
        <w:t xml:space="preserve"> to determine impact on DL enrollments</w:t>
      </w:r>
      <w:r>
        <w:t>; send back to math team.</w:t>
      </w:r>
    </w:p>
    <w:p w:rsidR="006539EB" w:rsidRPr="00FE7814" w:rsidRDefault="006539EB" w:rsidP="006539EB">
      <w:pPr>
        <w:spacing w:after="0" w:line="240" w:lineRule="auto"/>
      </w:pPr>
    </w:p>
    <w:p w:rsidR="007B7013" w:rsidRDefault="007B7013" w:rsidP="007B7013">
      <w:pPr>
        <w:pStyle w:val="ListParagraph"/>
        <w:numPr>
          <w:ilvl w:val="0"/>
          <w:numId w:val="1"/>
        </w:numPr>
        <w:spacing w:after="0" w:line="240" w:lineRule="auto"/>
        <w:rPr>
          <w:b/>
        </w:rPr>
      </w:pPr>
      <w:r>
        <w:rPr>
          <w:b/>
        </w:rPr>
        <w:t>Curriculum Proposals</w:t>
      </w:r>
      <w:r w:rsidR="00211040">
        <w:rPr>
          <w:b/>
        </w:rPr>
        <w:t xml:space="preserve"> (Christina Todd and Susanne Thaler)</w:t>
      </w:r>
    </w:p>
    <w:p w:rsidR="007B7013" w:rsidRDefault="00211040" w:rsidP="00211040">
      <w:pPr>
        <w:pStyle w:val="ListParagraph"/>
        <w:numPr>
          <w:ilvl w:val="1"/>
          <w:numId w:val="3"/>
        </w:numPr>
        <w:spacing w:after="0" w:line="240" w:lineRule="auto"/>
        <w:ind w:left="720"/>
      </w:pPr>
      <w:r>
        <w:t>Expansion of Welding</w:t>
      </w:r>
      <w:r w:rsidR="00990103">
        <w:t xml:space="preserve"> – Decision was made </w:t>
      </w:r>
      <w:r w:rsidR="008F0B93">
        <w:t xml:space="preserve">to approve welding certificate at Kingwood as currently proposed (358 hours) with the intent of aligning </w:t>
      </w:r>
      <w:r w:rsidR="000E7137">
        <w:t xml:space="preserve">CE </w:t>
      </w:r>
      <w:r w:rsidR="008F0B93">
        <w:t xml:space="preserve">curriculum </w:t>
      </w:r>
      <w:r w:rsidR="000E7137">
        <w:t xml:space="preserve">with the credit curriculum </w:t>
      </w:r>
      <w:r w:rsidR="008F0B93">
        <w:t>for approval by Coordinating Board.</w:t>
      </w:r>
    </w:p>
    <w:p w:rsidR="00211040" w:rsidRDefault="00211040" w:rsidP="00211040">
      <w:pPr>
        <w:pStyle w:val="ListParagraph"/>
        <w:numPr>
          <w:ilvl w:val="1"/>
          <w:numId w:val="3"/>
        </w:numPr>
        <w:spacing w:after="0" w:line="240" w:lineRule="auto"/>
        <w:ind w:left="720"/>
      </w:pPr>
      <w:r>
        <w:t>Expansion of Gaming (Tabled)</w:t>
      </w:r>
    </w:p>
    <w:p w:rsidR="00211040" w:rsidRDefault="00211040" w:rsidP="00211040">
      <w:pPr>
        <w:pStyle w:val="ListParagraph"/>
        <w:numPr>
          <w:ilvl w:val="1"/>
          <w:numId w:val="3"/>
        </w:numPr>
        <w:spacing w:after="0" w:line="240" w:lineRule="auto"/>
        <w:ind w:left="720"/>
      </w:pPr>
      <w:r>
        <w:t>Expansion Process</w:t>
      </w:r>
      <w:r w:rsidR="00E715F4">
        <w:t xml:space="preserve"> – The council agreed that Workforce Council should make recommendations</w:t>
      </w:r>
      <w:r w:rsidR="00990103">
        <w:t xml:space="preserve"> and forward to </w:t>
      </w:r>
      <w:r w:rsidR="00E715F4">
        <w:t>VPs for input and then to EC for approval.</w:t>
      </w:r>
    </w:p>
    <w:p w:rsidR="005674BD" w:rsidRDefault="005674BD">
      <w:pPr>
        <w:spacing w:after="0" w:line="240" w:lineRule="auto"/>
      </w:pPr>
      <w:r>
        <w:br w:type="page"/>
      </w:r>
    </w:p>
    <w:p w:rsidR="00211040" w:rsidRPr="00211040" w:rsidRDefault="00211040" w:rsidP="00211040">
      <w:pPr>
        <w:spacing w:after="0" w:line="240" w:lineRule="auto"/>
      </w:pPr>
    </w:p>
    <w:p w:rsidR="007B7013" w:rsidRDefault="007B7013" w:rsidP="007B7013">
      <w:pPr>
        <w:pStyle w:val="ListParagraph"/>
        <w:numPr>
          <w:ilvl w:val="0"/>
          <w:numId w:val="1"/>
        </w:numPr>
        <w:spacing w:after="0" w:line="240" w:lineRule="auto"/>
        <w:rPr>
          <w:b/>
        </w:rPr>
      </w:pPr>
      <w:r>
        <w:rPr>
          <w:b/>
        </w:rPr>
        <w:t>P-16 Project and Budget (Linda Luehrs-Wolfe)</w:t>
      </w:r>
    </w:p>
    <w:p w:rsidR="00737CA2" w:rsidRDefault="00737CA2" w:rsidP="00990103">
      <w:pPr>
        <w:pStyle w:val="ListParagraph"/>
        <w:ind w:left="360"/>
      </w:pPr>
      <w:r>
        <w:t>Linda gave a brief summary of her attendance at the THECB P-16 Special Advisory meeting on</w:t>
      </w:r>
      <w:r>
        <w:br/>
        <w:t xml:space="preserve">April 10 with emphasis on college readiness, career clusters, and targeted workforce courses:  ITSC 1301/1401, DFTG 1254, BMGT 1303, ACNT 1303, </w:t>
      </w:r>
      <w:proofErr w:type="gramStart"/>
      <w:r>
        <w:t>POFT</w:t>
      </w:r>
      <w:proofErr w:type="gramEnd"/>
      <w:r>
        <w:t xml:space="preserve"> 1301.</w:t>
      </w:r>
      <w:r w:rsidR="008F0B93">
        <w:t xml:space="preserve">  </w:t>
      </w:r>
      <w:r w:rsidR="006539EB">
        <w:t>She</w:t>
      </w:r>
      <w:r w:rsidR="008F0B93">
        <w:t xml:space="preserve"> also advised that the fall P-16 evaluation will have different objectives for which we were not informed.</w:t>
      </w:r>
    </w:p>
    <w:p w:rsidR="00737CA2" w:rsidRDefault="00737CA2" w:rsidP="00990103">
      <w:pPr>
        <w:pStyle w:val="ListParagraph"/>
        <w:ind w:left="360"/>
      </w:pPr>
    </w:p>
    <w:p w:rsidR="00211040" w:rsidRDefault="00990103" w:rsidP="00990103">
      <w:pPr>
        <w:pStyle w:val="ListParagraph"/>
        <w:ind w:left="360"/>
      </w:pPr>
      <w:r>
        <w:t xml:space="preserve">There is $15,000 remaining, and decision was made to use for </w:t>
      </w:r>
      <w:r w:rsidR="00737CA2">
        <w:t xml:space="preserve">(1) </w:t>
      </w:r>
      <w:r>
        <w:t>scholarships for Summer Bridg</w:t>
      </w:r>
      <w:r w:rsidR="00737CA2">
        <w:t>e</w:t>
      </w:r>
      <w:r>
        <w:t xml:space="preserve">, </w:t>
      </w:r>
      <w:r w:rsidR="00737CA2">
        <w:t xml:space="preserve">(2) </w:t>
      </w:r>
      <w:r>
        <w:t xml:space="preserve">textbooks with the understanding that they will remain at the campus, </w:t>
      </w:r>
      <w:r w:rsidR="00737CA2">
        <w:t xml:space="preserve">(3) </w:t>
      </w:r>
      <w:r>
        <w:t>students’ first test</w:t>
      </w:r>
      <w:r w:rsidR="00737CA2">
        <w:t xml:space="preserve">, and (4) copies of Composite for College Readiness for full-time </w:t>
      </w:r>
      <w:r w:rsidR="000E7137">
        <w:t xml:space="preserve">English, </w:t>
      </w:r>
      <w:r w:rsidR="00737CA2">
        <w:t>math</w:t>
      </w:r>
      <w:r w:rsidR="000E7137">
        <w:t xml:space="preserve">, science, </w:t>
      </w:r>
      <w:r w:rsidR="00737CA2">
        <w:t xml:space="preserve"> and social sciences faculty, deans, and VPs.</w:t>
      </w:r>
      <w:r>
        <w:t xml:space="preserve"> The grant will also be funded for a second year so allocation</w:t>
      </w:r>
      <w:r w:rsidR="00737CA2">
        <w:t>s</w:t>
      </w:r>
      <w:r>
        <w:t xml:space="preserve"> </w:t>
      </w:r>
      <w:r w:rsidR="00737CA2">
        <w:t>need</w:t>
      </w:r>
      <w:r>
        <w:t xml:space="preserve"> to be determined.</w:t>
      </w:r>
    </w:p>
    <w:p w:rsidR="00990103" w:rsidRPr="00990103" w:rsidRDefault="00990103" w:rsidP="00990103">
      <w:pPr>
        <w:pStyle w:val="ListParagraph"/>
        <w:ind w:left="360"/>
      </w:pPr>
    </w:p>
    <w:p w:rsidR="00211040" w:rsidRDefault="00211040" w:rsidP="007B7013">
      <w:pPr>
        <w:pStyle w:val="ListParagraph"/>
        <w:numPr>
          <w:ilvl w:val="0"/>
          <w:numId w:val="1"/>
        </w:numPr>
        <w:spacing w:after="0" w:line="240" w:lineRule="auto"/>
        <w:rPr>
          <w:b/>
        </w:rPr>
      </w:pPr>
      <w:r>
        <w:rPr>
          <w:b/>
        </w:rPr>
        <w:t>Exit Assessment (Larry Rideaux)</w:t>
      </w:r>
    </w:p>
    <w:p w:rsidR="008F0B93" w:rsidRPr="008F0B93" w:rsidRDefault="006539EB" w:rsidP="008F0B93">
      <w:pPr>
        <w:spacing w:after="0" w:line="240" w:lineRule="auto"/>
        <w:ind w:left="360"/>
      </w:pPr>
      <w:r>
        <w:t>Grant</w:t>
      </w:r>
      <w:r w:rsidR="008F0B93">
        <w:t xml:space="preserve"> ended last year and budget is being considered; however, it appears that each college will be responsible for funding </w:t>
      </w:r>
      <w:r w:rsidR="00937708">
        <w:t xml:space="preserve">stipends </w:t>
      </w:r>
      <w:r w:rsidR="008F0B93">
        <w:t xml:space="preserve">for the summer, approximately $32,000 or $6,400/ea.  </w:t>
      </w:r>
      <w:r w:rsidR="007F3684">
        <w:t>Council agreed that data gathering needs to continue</w:t>
      </w:r>
      <w:r w:rsidR="00C8647C">
        <w:t xml:space="preserve"> for at least another year</w:t>
      </w:r>
      <w:r w:rsidR="007F3684">
        <w:t xml:space="preserve"> as at this point there is no definitive data with predictive quality</w:t>
      </w:r>
      <w:r w:rsidR="00937708">
        <w:t xml:space="preserve"> since 05-06</w:t>
      </w:r>
      <w:r w:rsidR="00C8647C">
        <w:t>.  D</w:t>
      </w:r>
      <w:r w:rsidR="007F3684">
        <w:t xml:space="preserve">etermination will need to be made as to whether system-wide </w:t>
      </w:r>
      <w:r w:rsidR="00C8647C">
        <w:t>this i</w:t>
      </w:r>
      <w:r w:rsidR="007F3684">
        <w:t>s worth the money</w:t>
      </w:r>
      <w:r w:rsidR="00C8647C">
        <w:t xml:space="preserve"> or if benchmarking should be success rate of 1301.  Funding could perhaps come through Achieving the Dream.</w:t>
      </w:r>
    </w:p>
    <w:p w:rsidR="00211040" w:rsidRPr="00211040" w:rsidRDefault="00211040" w:rsidP="00211040">
      <w:pPr>
        <w:pStyle w:val="ListParagraph"/>
        <w:rPr>
          <w:b/>
        </w:rPr>
      </w:pPr>
    </w:p>
    <w:p w:rsidR="00211040" w:rsidRDefault="00211040" w:rsidP="007B7013">
      <w:pPr>
        <w:pStyle w:val="ListParagraph"/>
        <w:numPr>
          <w:ilvl w:val="0"/>
          <w:numId w:val="1"/>
        </w:numPr>
        <w:spacing w:after="0" w:line="240" w:lineRule="auto"/>
        <w:rPr>
          <w:b/>
        </w:rPr>
      </w:pPr>
      <w:r>
        <w:rPr>
          <w:b/>
        </w:rPr>
        <w:t>Budget for McCabe &amp; Summer Bridge Programs (Larry Rideaux)</w:t>
      </w:r>
    </w:p>
    <w:p w:rsidR="00211040" w:rsidRDefault="00EC0F5F" w:rsidP="00EC0F5F">
      <w:pPr>
        <w:pStyle w:val="ListParagraph"/>
        <w:ind w:left="360"/>
      </w:pPr>
      <w:r>
        <w:t xml:space="preserve">At this time, there is no administrative allocation in the budget and colleges cannot absorb.  Propose hiring administrator with at least program manager level capabilities.  There is potential for growth and partnerships with high schools; however, decisions may need to </w:t>
      </w:r>
      <w:r w:rsidR="00937708">
        <w:t>wait until the Student Success V</w:t>
      </w:r>
      <w:r>
        <w:t xml:space="preserve">ice </w:t>
      </w:r>
      <w:r w:rsidR="00937708">
        <w:t>Chancellor</w:t>
      </w:r>
      <w:r>
        <w:t xml:space="preserve"> is hired.</w:t>
      </w:r>
    </w:p>
    <w:p w:rsidR="00EC0F5F" w:rsidRPr="00EC0F5F" w:rsidRDefault="00EC0F5F" w:rsidP="00EC0F5F">
      <w:pPr>
        <w:pStyle w:val="ListParagraph"/>
        <w:ind w:left="360"/>
      </w:pPr>
    </w:p>
    <w:p w:rsidR="00211040" w:rsidRDefault="00211040" w:rsidP="007B7013">
      <w:pPr>
        <w:pStyle w:val="ListParagraph"/>
        <w:numPr>
          <w:ilvl w:val="0"/>
          <w:numId w:val="1"/>
        </w:numPr>
        <w:spacing w:after="0" w:line="240" w:lineRule="auto"/>
        <w:rPr>
          <w:b/>
        </w:rPr>
      </w:pPr>
      <w:r>
        <w:rPr>
          <w:b/>
        </w:rPr>
        <w:t>Centralized Admissions Process for Health Occupations (Linda Luehrs-Wolfe)</w:t>
      </w:r>
    </w:p>
    <w:p w:rsidR="00211040" w:rsidRDefault="004B0A77" w:rsidP="004B0A77">
      <w:pPr>
        <w:pStyle w:val="ListParagraph"/>
        <w:ind w:left="360"/>
      </w:pPr>
      <w:r>
        <w:t xml:space="preserve">Council agreed </w:t>
      </w:r>
      <w:r w:rsidR="006539EB">
        <w:t xml:space="preserve">with proposed process, </w:t>
      </w:r>
      <w:r>
        <w:t xml:space="preserve">and recommended that position should be </w:t>
      </w:r>
      <w:r w:rsidR="00937708">
        <w:t xml:space="preserve">a </w:t>
      </w:r>
      <w:r>
        <w:t xml:space="preserve">director level in line with nursing directors.  Programs would include nursing, </w:t>
      </w:r>
      <w:proofErr w:type="spellStart"/>
      <w:r>
        <w:t>rad</w:t>
      </w:r>
      <w:proofErr w:type="spellEnd"/>
      <w:r>
        <w:t xml:space="preserve"> tech, and OTA, and directors would need to agree to abide by decisions for admission.  Responsibilities would also include clinical-agreement administration. </w:t>
      </w:r>
      <w:r w:rsidR="00E14439">
        <w:t xml:space="preserve">  Linda will propose to presidents.</w:t>
      </w:r>
    </w:p>
    <w:p w:rsidR="00E14439" w:rsidRPr="004B0A77" w:rsidRDefault="00E14439" w:rsidP="004B0A77">
      <w:pPr>
        <w:pStyle w:val="ListParagraph"/>
        <w:ind w:left="360"/>
      </w:pPr>
    </w:p>
    <w:p w:rsidR="00211040" w:rsidRDefault="00211040" w:rsidP="007B7013">
      <w:pPr>
        <w:pStyle w:val="ListParagraph"/>
        <w:numPr>
          <w:ilvl w:val="0"/>
          <w:numId w:val="1"/>
        </w:numPr>
        <w:spacing w:after="0" w:line="240" w:lineRule="auto"/>
        <w:rPr>
          <w:b/>
        </w:rPr>
      </w:pPr>
      <w:r>
        <w:rPr>
          <w:b/>
        </w:rPr>
        <w:t>Nursing Appeals Process (Linda Luehrs-Wolfe)</w:t>
      </w:r>
    </w:p>
    <w:p w:rsidR="00B300D8" w:rsidRDefault="004B0A77" w:rsidP="00B300D8">
      <w:pPr>
        <w:pStyle w:val="ListParagraph"/>
        <w:ind w:left="360"/>
      </w:pPr>
      <w:r w:rsidRPr="004B0A77">
        <w:t xml:space="preserve">Appeals process was approved </w:t>
      </w:r>
      <w:r>
        <w:t xml:space="preserve">as submitted.  </w:t>
      </w:r>
    </w:p>
    <w:p w:rsidR="004B0A77" w:rsidRPr="004B0A77" w:rsidRDefault="004B0A77" w:rsidP="00B300D8">
      <w:pPr>
        <w:pStyle w:val="ListParagraph"/>
        <w:ind w:left="360"/>
      </w:pPr>
    </w:p>
    <w:p w:rsidR="00211040" w:rsidRDefault="00211040" w:rsidP="007B7013">
      <w:pPr>
        <w:pStyle w:val="ListParagraph"/>
        <w:numPr>
          <w:ilvl w:val="0"/>
          <w:numId w:val="1"/>
        </w:numPr>
        <w:spacing w:after="0" w:line="240" w:lineRule="auto"/>
        <w:rPr>
          <w:b/>
        </w:rPr>
      </w:pPr>
      <w:r>
        <w:rPr>
          <w:b/>
        </w:rPr>
        <w:t>Efficiency in Course Offerings Across Colleges (Julie Leidig)</w:t>
      </w:r>
    </w:p>
    <w:p w:rsidR="00211040" w:rsidRDefault="00C852FD" w:rsidP="00FE7814">
      <w:pPr>
        <w:pStyle w:val="ListParagraph"/>
        <w:ind w:left="360"/>
      </w:pPr>
      <w:r>
        <w:t>There are productivity issues, and perhaps a program such as “Class Track” would help in evaluating and making decision regarding low-</w:t>
      </w:r>
      <w:r w:rsidR="002B5849">
        <w:t>enrollment programs</w:t>
      </w:r>
      <w:r>
        <w:t>.  Suggestion was made to query deans as to recommendations and unique needs and for collaboration across divisions.</w:t>
      </w:r>
      <w:r w:rsidR="00937708">
        <w:t xml:space="preserve">  VPs will review low enrollment course data.</w:t>
      </w:r>
    </w:p>
    <w:p w:rsidR="005674BD" w:rsidRDefault="005674BD">
      <w:pPr>
        <w:spacing w:after="0" w:line="240" w:lineRule="auto"/>
      </w:pPr>
      <w:r>
        <w:br w:type="page"/>
      </w:r>
    </w:p>
    <w:p w:rsidR="00C852FD" w:rsidRPr="006539EB" w:rsidRDefault="00C852FD" w:rsidP="00FE7814">
      <w:pPr>
        <w:pStyle w:val="ListParagraph"/>
        <w:ind w:left="360"/>
      </w:pPr>
    </w:p>
    <w:p w:rsidR="00211040" w:rsidRDefault="00211040" w:rsidP="007B7013">
      <w:pPr>
        <w:pStyle w:val="ListParagraph"/>
        <w:numPr>
          <w:ilvl w:val="0"/>
          <w:numId w:val="1"/>
        </w:numPr>
        <w:spacing w:after="0" w:line="240" w:lineRule="auto"/>
        <w:rPr>
          <w:b/>
        </w:rPr>
      </w:pPr>
      <w:r>
        <w:rPr>
          <w:b/>
        </w:rPr>
        <w:t>QEP (Linda Luehrs-Wolfe)</w:t>
      </w:r>
    </w:p>
    <w:p w:rsidR="00211040" w:rsidRPr="00937708" w:rsidRDefault="00937708" w:rsidP="00937708">
      <w:pPr>
        <w:ind w:left="360"/>
      </w:pPr>
      <w:r w:rsidRPr="00937708">
        <w:t>VPs agreed to work on a proposal to focus on assessment (student learning outcome assessment) to forward to EC to adopt for LSC’s SACS QEP.</w:t>
      </w:r>
    </w:p>
    <w:p w:rsidR="00211040" w:rsidRDefault="00211040" w:rsidP="007B7013">
      <w:pPr>
        <w:pStyle w:val="ListParagraph"/>
        <w:numPr>
          <w:ilvl w:val="0"/>
          <w:numId w:val="1"/>
        </w:numPr>
        <w:spacing w:after="0" w:line="240" w:lineRule="auto"/>
        <w:rPr>
          <w:b/>
        </w:rPr>
      </w:pPr>
      <w:r>
        <w:rPr>
          <w:b/>
        </w:rPr>
        <w:t>Open Discussion Items</w:t>
      </w:r>
    </w:p>
    <w:p w:rsidR="00937708" w:rsidRDefault="00937708" w:rsidP="00937708">
      <w:pPr>
        <w:spacing w:after="0" w:line="240" w:lineRule="auto"/>
        <w:rPr>
          <w:b/>
        </w:rPr>
      </w:pPr>
    </w:p>
    <w:p w:rsidR="00937708" w:rsidRDefault="00937708" w:rsidP="00937708">
      <w:pPr>
        <w:spacing w:after="0" w:line="240" w:lineRule="auto"/>
        <w:rPr>
          <w:b/>
        </w:rPr>
      </w:pPr>
    </w:p>
    <w:p w:rsidR="00937708" w:rsidRDefault="00937708" w:rsidP="00937708">
      <w:pPr>
        <w:spacing w:after="0" w:line="240" w:lineRule="auto"/>
        <w:rPr>
          <w:b/>
        </w:rPr>
      </w:pPr>
    </w:p>
    <w:p w:rsidR="00937708" w:rsidRPr="00937708" w:rsidRDefault="00937708" w:rsidP="00937708">
      <w:pPr>
        <w:spacing w:after="0" w:line="240" w:lineRule="auto"/>
        <w:rPr>
          <w:b/>
        </w:rPr>
      </w:pPr>
      <w:r>
        <w:rPr>
          <w:b/>
        </w:rPr>
        <w:t>Next meeting is scheduled for Tuesday, May 13</w:t>
      </w:r>
      <w:r w:rsidRPr="00937708">
        <w:rPr>
          <w:b/>
          <w:vertAlign w:val="superscript"/>
        </w:rPr>
        <w:t>th</w:t>
      </w:r>
      <w:r>
        <w:rPr>
          <w:b/>
        </w:rPr>
        <w:t xml:space="preserve"> from 9 a.m. – 1 p.m.</w:t>
      </w:r>
    </w:p>
    <w:sectPr w:rsidR="00937708" w:rsidRPr="00937708" w:rsidSect="00C94B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E4D" w:rsidRDefault="00C05E4D" w:rsidP="00E14439">
      <w:pPr>
        <w:spacing w:after="0" w:line="240" w:lineRule="auto"/>
      </w:pPr>
      <w:r>
        <w:separator/>
      </w:r>
    </w:p>
  </w:endnote>
  <w:endnote w:type="continuationSeparator" w:id="1">
    <w:p w:rsidR="00C05E4D" w:rsidRDefault="00C05E4D" w:rsidP="00E14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A6" w:rsidRDefault="00C94C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185643"/>
      <w:docPartObj>
        <w:docPartGallery w:val="Page Numbers (Bottom of Page)"/>
        <w:docPartUnique/>
      </w:docPartObj>
    </w:sdtPr>
    <w:sdtContent>
      <w:sdt>
        <w:sdtPr>
          <w:id w:val="565050523"/>
          <w:docPartObj>
            <w:docPartGallery w:val="Page Numbers (Top of Page)"/>
            <w:docPartUnique/>
          </w:docPartObj>
        </w:sdtPr>
        <w:sdtContent>
          <w:p w:rsidR="00FE7814" w:rsidRDefault="00FE7814" w:rsidP="00E14439">
            <w:pPr>
              <w:pStyle w:val="Footer"/>
            </w:pPr>
            <w:r>
              <w:t>VP Council</w:t>
            </w:r>
            <w:r>
              <w:tab/>
            </w:r>
            <w:r>
              <w:tab/>
              <w:t xml:space="preserve">Page </w:t>
            </w:r>
            <w:r w:rsidR="00B83974">
              <w:rPr>
                <w:b/>
                <w:sz w:val="24"/>
                <w:szCs w:val="24"/>
              </w:rPr>
              <w:fldChar w:fldCharType="begin"/>
            </w:r>
            <w:r>
              <w:rPr>
                <w:b/>
              </w:rPr>
              <w:instrText xml:space="preserve"> PAGE </w:instrText>
            </w:r>
            <w:r w:rsidR="00B83974">
              <w:rPr>
                <w:b/>
                <w:sz w:val="24"/>
                <w:szCs w:val="24"/>
              </w:rPr>
              <w:fldChar w:fldCharType="separate"/>
            </w:r>
            <w:r w:rsidR="00835A10">
              <w:rPr>
                <w:b/>
                <w:noProof/>
              </w:rPr>
              <w:t>1</w:t>
            </w:r>
            <w:r w:rsidR="00B83974">
              <w:rPr>
                <w:b/>
                <w:sz w:val="24"/>
                <w:szCs w:val="24"/>
              </w:rPr>
              <w:fldChar w:fldCharType="end"/>
            </w:r>
            <w:r>
              <w:t xml:space="preserve"> of </w:t>
            </w:r>
            <w:r w:rsidR="00B83974">
              <w:rPr>
                <w:b/>
                <w:sz w:val="24"/>
                <w:szCs w:val="24"/>
              </w:rPr>
              <w:fldChar w:fldCharType="begin"/>
            </w:r>
            <w:r>
              <w:rPr>
                <w:b/>
              </w:rPr>
              <w:instrText xml:space="preserve"> NUMPAGES  </w:instrText>
            </w:r>
            <w:r w:rsidR="00B83974">
              <w:rPr>
                <w:b/>
                <w:sz w:val="24"/>
                <w:szCs w:val="24"/>
              </w:rPr>
              <w:fldChar w:fldCharType="separate"/>
            </w:r>
            <w:r w:rsidR="00835A10">
              <w:rPr>
                <w:b/>
                <w:noProof/>
              </w:rPr>
              <w:t>4</w:t>
            </w:r>
            <w:r w:rsidR="00B83974">
              <w:rPr>
                <w:b/>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A6" w:rsidRDefault="00C94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E4D" w:rsidRDefault="00C05E4D" w:rsidP="00E14439">
      <w:pPr>
        <w:spacing w:after="0" w:line="240" w:lineRule="auto"/>
      </w:pPr>
      <w:r>
        <w:separator/>
      </w:r>
    </w:p>
  </w:footnote>
  <w:footnote w:type="continuationSeparator" w:id="1">
    <w:p w:rsidR="00C05E4D" w:rsidRDefault="00C05E4D" w:rsidP="00E144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A6" w:rsidRDefault="00C94C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A6" w:rsidRDefault="00C94C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A6" w:rsidRDefault="00C94C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2094"/>
    <w:multiLevelType w:val="hybridMultilevel"/>
    <w:tmpl w:val="8692F17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DE73E7"/>
    <w:multiLevelType w:val="hybridMultilevel"/>
    <w:tmpl w:val="78EA0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E5724D"/>
    <w:multiLevelType w:val="hybridMultilevel"/>
    <w:tmpl w:val="6D98F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EB0BE6"/>
    <w:multiLevelType w:val="hybridMultilevel"/>
    <w:tmpl w:val="3ECA3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69381C"/>
    <w:multiLevelType w:val="hybridMultilevel"/>
    <w:tmpl w:val="B0C02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930F57"/>
    <w:multiLevelType w:val="hybridMultilevel"/>
    <w:tmpl w:val="2FAA0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98000A"/>
    <w:rsid w:val="00042015"/>
    <w:rsid w:val="000E292E"/>
    <w:rsid w:val="000E7137"/>
    <w:rsid w:val="001A3AFE"/>
    <w:rsid w:val="001F76A8"/>
    <w:rsid w:val="00211040"/>
    <w:rsid w:val="002B5849"/>
    <w:rsid w:val="004B0A77"/>
    <w:rsid w:val="005674BD"/>
    <w:rsid w:val="0059793F"/>
    <w:rsid w:val="006539EB"/>
    <w:rsid w:val="00737CA2"/>
    <w:rsid w:val="00772888"/>
    <w:rsid w:val="007B7013"/>
    <w:rsid w:val="007F1247"/>
    <w:rsid w:val="007F3684"/>
    <w:rsid w:val="00835A10"/>
    <w:rsid w:val="008C1513"/>
    <w:rsid w:val="008F0B93"/>
    <w:rsid w:val="00922760"/>
    <w:rsid w:val="00937708"/>
    <w:rsid w:val="0098000A"/>
    <w:rsid w:val="00990103"/>
    <w:rsid w:val="009E5ECA"/>
    <w:rsid w:val="00B300D8"/>
    <w:rsid w:val="00B37232"/>
    <w:rsid w:val="00B83974"/>
    <w:rsid w:val="00C05E4D"/>
    <w:rsid w:val="00C46420"/>
    <w:rsid w:val="00C852FD"/>
    <w:rsid w:val="00C8647C"/>
    <w:rsid w:val="00C94BFE"/>
    <w:rsid w:val="00C94CA6"/>
    <w:rsid w:val="00D72DBD"/>
    <w:rsid w:val="00E0174D"/>
    <w:rsid w:val="00E14439"/>
    <w:rsid w:val="00E715F4"/>
    <w:rsid w:val="00EC0F5F"/>
    <w:rsid w:val="00FE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00A"/>
    <w:pPr>
      <w:ind w:left="720"/>
      <w:contextualSpacing/>
    </w:pPr>
  </w:style>
  <w:style w:type="paragraph" w:styleId="Header">
    <w:name w:val="header"/>
    <w:basedOn w:val="Normal"/>
    <w:link w:val="HeaderChar"/>
    <w:uiPriority w:val="99"/>
    <w:semiHidden/>
    <w:unhideWhenUsed/>
    <w:rsid w:val="00E144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439"/>
    <w:rPr>
      <w:rFonts w:ascii="Calibri" w:eastAsia="Calibri" w:hAnsi="Calibri" w:cs="Times New Roman"/>
    </w:rPr>
  </w:style>
  <w:style w:type="paragraph" w:styleId="Footer">
    <w:name w:val="footer"/>
    <w:basedOn w:val="Normal"/>
    <w:link w:val="FooterChar"/>
    <w:uiPriority w:val="99"/>
    <w:unhideWhenUsed/>
    <w:rsid w:val="00E14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39"/>
    <w:rPr>
      <w:rFonts w:ascii="Calibri" w:eastAsia="Calibri" w:hAnsi="Calibri" w:cs="Times New Roman"/>
    </w:rPr>
  </w:style>
  <w:style w:type="paragraph" w:styleId="BalloonText">
    <w:name w:val="Balloon Text"/>
    <w:basedOn w:val="Normal"/>
    <w:link w:val="BalloonTextChar"/>
    <w:uiPriority w:val="99"/>
    <w:semiHidden/>
    <w:unhideWhenUsed/>
    <w:rsid w:val="00E14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43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503495">
      <w:bodyDiv w:val="1"/>
      <w:marLeft w:val="0"/>
      <w:marRight w:val="0"/>
      <w:marTop w:val="0"/>
      <w:marBottom w:val="0"/>
      <w:divBdr>
        <w:top w:val="none" w:sz="0" w:space="0" w:color="auto"/>
        <w:left w:val="none" w:sz="0" w:space="0" w:color="auto"/>
        <w:bottom w:val="none" w:sz="0" w:space="0" w:color="auto"/>
        <w:right w:val="none" w:sz="0" w:space="0" w:color="auto"/>
      </w:divBdr>
    </w:div>
    <w:div w:id="309484123">
      <w:bodyDiv w:val="1"/>
      <w:marLeft w:val="0"/>
      <w:marRight w:val="0"/>
      <w:marTop w:val="0"/>
      <w:marBottom w:val="0"/>
      <w:divBdr>
        <w:top w:val="none" w:sz="0" w:space="0" w:color="auto"/>
        <w:left w:val="none" w:sz="0" w:space="0" w:color="auto"/>
        <w:bottom w:val="none" w:sz="0" w:space="0" w:color="auto"/>
        <w:right w:val="none" w:sz="0" w:space="0" w:color="auto"/>
      </w:divBdr>
    </w:div>
    <w:div w:id="14778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sheryoung</dc:creator>
  <cp:keywords/>
  <dc:description/>
  <cp:lastModifiedBy>maamann</cp:lastModifiedBy>
  <cp:revision>5</cp:revision>
  <cp:lastPrinted>2008-05-01T18:36:00Z</cp:lastPrinted>
  <dcterms:created xsi:type="dcterms:W3CDTF">2008-04-16T14:25:00Z</dcterms:created>
  <dcterms:modified xsi:type="dcterms:W3CDTF">2008-05-01T18:36:00Z</dcterms:modified>
</cp:coreProperties>
</file>